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footer9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_rels/footnotes.xml.rels" ContentType="application/vnd.openxmlformats-package.relationships+xml"/>
  <Override PartName="/word/footer6.xml" ContentType="application/vnd.openxmlformats-officedocument.wordprocessingml.footer+xml"/>
  <Override PartName="/word/media/image1.png" ContentType="image/png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</w:p>
    <w:p>
      <w:pPr>
        <w:pStyle w:val="Normal"/>
        <w:tabs>
          <w:tab w:val="clear" w:pos="709"/>
          <w:tab w:val="left" w:pos="1260" w:leader="none"/>
        </w:tabs>
        <w:spacing w:lineRule="auto" w:line="240" w:before="0" w:after="0"/>
        <w:ind w:left="1260" w:hanging="1080"/>
        <w:jc w:val="right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8"/>
        </w:rPr>
        <w:t>к Техническим требованиям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Normal"/>
        <w:ind w:left="5670" w:hanging="0"/>
        <w:jc w:val="both"/>
        <w:rPr>
          <w:rFonts w:ascii="Times New Roman" w:hAnsi="Times New Roman"/>
          <w:b/>
          <w:bCs/>
          <w:sz w:val="28"/>
          <w:szCs w:val="24"/>
        </w:rPr>
      </w:pPr>
      <w:r>
        <w:rPr>
          <w:rFonts w:eastAsia="Calibri" w:ascii="Times New Roman" w:hAnsi="Times New Roman"/>
          <w:sz w:val="24"/>
          <w:lang w:eastAsia="en-US"/>
        </w:rPr>
        <w:t>«ОКПД2 25.11.23.114. Поставка, сборка и монтаж затворов водосливной плотины №№1,3 и затворов байпаса спиральной камеры №№4,9,14, поставка, укрупненная сборка и замена решеток сороудерживающего сооружения №№19,20 Жигулевской ГЭС»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ConsPlusNormal1"/>
        <w:tabs>
          <w:tab w:val="clear" w:pos="709"/>
          <w:tab w:val="left" w:pos="180" w:leader="none"/>
        </w:tabs>
        <w:ind w:hanging="0"/>
        <w:jc w:val="center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9"/>
          <w:tab w:val="left" w:pos="180" w:leader="none"/>
        </w:tabs>
        <w:ind w:hanging="0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сметной документации на работы по программе ремонтов, реконструкции и техническому перевооружению</w:t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Настоящие требования разработаны для единого подхода к оформлению и составлению сметной документации на работы по ремонтам, реконструкции и техническому перевооружению.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Использование</w:t>
      </w:r>
      <w:r>
        <w:rPr>
          <w:rFonts w:ascii="Times New Roman" w:hAnsi="Times New Roman"/>
          <w:sz w:val="22"/>
          <w:szCs w:val="22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2"/>
          <w:szCs w:val="22"/>
          <w:u w:val="single"/>
        </w:rPr>
        <w:t>не допускается</w:t>
      </w:r>
      <w:r>
        <w:rPr>
          <w:rFonts w:ascii="Times New Roman" w:hAnsi="Times New Roman"/>
          <w:sz w:val="22"/>
          <w:szCs w:val="22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2"/>
          <w:szCs w:val="22"/>
          <w:u w:val="single"/>
        </w:rPr>
        <w:t>должна быть не ниже 2024.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color w:val="FF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При составлении смет на ремонт, реконструкцию и техническое перевооружение энергетического оборудования приоритетным является применение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техперевооружению» с учетом дополнений и изменений </w:t>
        <w:br/>
        <w:t>1-12 (далее – БЦ), «Методических указаний по формированию смет и калькуляций на ремонт энергооборудования» (СО 34.20.607-2005), разработанных АО «ЦКБ Энергоремонт». Поправочный индекс к Базовым ценам учитывать в размере, не превышающем предельный индекс, установленный для Филиала (ПО) ПАО «РусГидро».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/>
      </w:pPr>
      <w:r>
        <w:rPr>
          <w:rFonts w:ascii="Times New Roman" w:hAnsi="Times New Roman"/>
          <w:sz w:val="22"/>
          <w:szCs w:val="22"/>
        </w:rPr>
        <w:t>Поправочный индекс к Базовым ценам для работ, выполняемых в 2025-2026 гг. принимать в соответствии со Служебной запиской «О размере поправочных индексов к сборникам базовых цен на ремонт энергооборудования» от 13.03.2024 № ВН-1885.38, но не выше поправочных индексов, указанных в СЗ от 24.09.2024 № ВН-10834.38: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hanging="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tbl>
      <w:tblPr>
        <w:tblW w:w="9356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157"/>
        <w:gridCol w:w="2198"/>
      </w:tblGrid>
      <w:tr>
        <w:trPr>
          <w:trHeight w:val="410" w:hRule="atLeast"/>
        </w:trPr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Normal"/>
              <w:widowControl w:val="false"/>
              <w:shd w:val="clear" w:color="auto" w:fill="DDDDDD"/>
              <w:spacing w:lineRule="auto" w:line="240" w:before="0" w:after="200"/>
              <w:ind w:right="38" w:firstLine="567"/>
              <w:jc w:val="center"/>
              <w:rPr>
                <w:rFonts w:ascii="Times New Roman" w:hAnsi="Times New Roman"/>
                <w:sz w:val="24"/>
                <w:szCs w:val="24"/>
                <w:shd w:fill="CCCCCC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CCCCCC" w:val="clear"/>
              </w:rPr>
              <w:t>Наименование частей Базовых цен</w:t>
            </w:r>
          </w:p>
        </w:tc>
        <w:tc>
          <w:tcPr>
            <w:tcW w:w="21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</w:tr>
      <w:tr>
        <w:trPr>
          <w:trHeight w:val="227" w:hRule="atLeast"/>
        </w:trPr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cs="Calibri" w:ascii="Times New Roman" w:hAnsi="Times New Roman"/>
                <w:sz w:val="20"/>
                <w:szCs w:val="20"/>
              </w:rPr>
              <w:t>Часть 1 Этап 9</w:t>
            </w:r>
          </w:p>
        </w:tc>
        <w:tc>
          <w:tcPr>
            <w:tcW w:w="21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8,02</w:t>
            </w:r>
          </w:p>
        </w:tc>
      </w:tr>
      <w:tr>
        <w:trPr>
          <w:trHeight w:val="227" w:hRule="atLeast"/>
        </w:trPr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cs="Calibri" w:ascii="Times New Roman" w:hAnsi="Times New Roman"/>
                <w:sz w:val="20"/>
                <w:szCs w:val="20"/>
              </w:rPr>
              <w:t>Часть 1 Этап 10</w:t>
            </w:r>
          </w:p>
        </w:tc>
        <w:tc>
          <w:tcPr>
            <w:tcW w:w="21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8,10</w:t>
            </w:r>
          </w:p>
        </w:tc>
      </w:tr>
      <w:tr>
        <w:trPr>
          <w:trHeight w:val="227" w:hRule="atLeast"/>
        </w:trPr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cs="Calibri" w:ascii="Times New Roman" w:hAnsi="Times New Roman"/>
                <w:sz w:val="20"/>
                <w:szCs w:val="20"/>
              </w:rPr>
              <w:t>Часть 1 Этап 11</w:t>
            </w:r>
          </w:p>
        </w:tc>
        <w:tc>
          <w:tcPr>
            <w:tcW w:w="21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7,86</w:t>
            </w:r>
          </w:p>
        </w:tc>
      </w:tr>
      <w:tr>
        <w:trPr>
          <w:trHeight w:val="227" w:hRule="atLeast"/>
        </w:trPr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cs="Calibri" w:ascii="Times New Roman" w:hAnsi="Times New Roman"/>
                <w:sz w:val="20"/>
                <w:szCs w:val="20"/>
              </w:rPr>
              <w:t>Часть 4 2027 год</w:t>
            </w:r>
          </w:p>
        </w:tc>
        <w:tc>
          <w:tcPr>
            <w:tcW w:w="21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6,86</w:t>
            </w:r>
          </w:p>
        </w:tc>
      </w:tr>
      <w:tr>
        <w:trPr>
          <w:trHeight w:val="227" w:hRule="atLeast"/>
        </w:trPr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cs="Calibri" w:ascii="Times New Roman" w:hAnsi="Times New Roman"/>
                <w:sz w:val="20"/>
                <w:szCs w:val="20"/>
              </w:rPr>
              <w:t>Часть 13 Этап 5</w:t>
            </w:r>
          </w:p>
        </w:tc>
        <w:tc>
          <w:tcPr>
            <w:tcW w:w="21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7,68</w:t>
            </w:r>
          </w:p>
        </w:tc>
      </w:tr>
      <w:tr>
        <w:trPr>
          <w:trHeight w:val="227" w:hRule="atLeast"/>
        </w:trPr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cs="Calibri" w:ascii="Times New Roman" w:hAnsi="Times New Roman"/>
                <w:sz w:val="20"/>
                <w:szCs w:val="20"/>
              </w:rPr>
              <w:t>Часть 13 Этап 7</w:t>
            </w:r>
          </w:p>
        </w:tc>
        <w:tc>
          <w:tcPr>
            <w:tcW w:w="21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7,83</w:t>
            </w:r>
          </w:p>
        </w:tc>
      </w:tr>
    </w:tbl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color w:val="FF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</w:t>
      </w:r>
      <w:r>
        <w:rPr>
          <w:rFonts w:ascii="Times New Roman" w:hAnsi="Times New Roman"/>
          <w:sz w:val="22"/>
          <w:szCs w:val="22"/>
        </w:rPr>
        <w:t xml:space="preserve"> составлении сметной документации необходимо использовать сметно-нормативную базу </w:t>
      </w:r>
      <w:r>
        <w:rPr>
          <w:rFonts w:ascii="Times New Roman" w:hAnsi="Times New Roman"/>
          <w:b/>
          <w:color w:val="FF0000"/>
          <w:sz w:val="22"/>
          <w:szCs w:val="22"/>
        </w:rPr>
        <w:t>«ФСНБ-2022» с изм., 1-16.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выполняется </w:t>
      </w:r>
      <w:bookmarkStart w:id="0" w:name="_Hlk80987880"/>
      <w:r>
        <w:rPr>
          <w:rFonts w:ascii="Times New Roman" w:hAnsi="Times New Roman"/>
          <w:sz w:val="22"/>
          <w:szCs w:val="22"/>
        </w:rPr>
        <w:t>Ресурсно-индексным -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уровне цен</w:t>
      </w:r>
      <w:bookmarkEnd w:id="0"/>
      <w:r>
        <w:rPr>
          <w:rFonts w:ascii="Times New Roman" w:hAnsi="Times New Roman"/>
          <w:sz w:val="22"/>
          <w:szCs w:val="22"/>
        </w:rPr>
        <w:t xml:space="preserve">. 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1134" w:leader="none"/>
        </w:tabs>
        <w:spacing w:lineRule="auto" w:line="240" w:before="40" w:after="40"/>
        <w:ind w:left="0" w:firstLine="737"/>
        <w:contextualSpacing w:val="false"/>
        <w:jc w:val="both"/>
        <w:rPr>
          <w:rFonts w:ascii="Times New Roman" w:hAnsi="Times New Roman"/>
          <w:highlight w:val="lightGray"/>
        </w:rPr>
      </w:pPr>
      <w:r>
        <w:rPr>
          <w:rFonts w:cs="Arial" w:ascii="Times New Roman" w:hAnsi="Times New Roman"/>
        </w:rPr>
        <w:t>При о</w:t>
      </w:r>
      <w:r>
        <w:rPr>
          <w:rFonts w:ascii="Times New Roman" w:hAnsi="Times New Roman"/>
        </w:rPr>
        <w:t xml:space="preserve">пределении сметной стоимости </w:t>
      </w:r>
      <w:r>
        <w:rPr>
          <w:rFonts w:ascii="Times New Roman" w:hAnsi="Times New Roman"/>
          <w:b/>
        </w:rPr>
        <w:t>ресурсно-индексным</w:t>
      </w:r>
      <w:r>
        <w:rPr>
          <w:rFonts w:ascii="Times New Roman" w:hAnsi="Times New Roman"/>
        </w:rPr>
        <w:t xml:space="preserve"> методом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Федерации), либо индексы, сведения о которых последними включены в ФРСН: индексы к отдельным строительным ресурсам, индексы к группам строительных ресурсов</w:t>
      </w:r>
      <w:r>
        <w:rPr>
          <w:rFonts w:ascii="Times New Roman" w:hAnsi="Times New Roman"/>
          <w:b/>
        </w:rPr>
        <w:t xml:space="preserve"> 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</w:t>
      </w:r>
      <w:r>
        <w:rPr>
          <w:rFonts w:ascii="Times New Roman" w:hAnsi="Times New Roman"/>
        </w:rPr>
        <w:t>;</w:t>
      </w:r>
    </w:p>
    <w:p>
      <w:pPr>
        <w:pStyle w:val="ListParagraph"/>
        <w:numPr>
          <w:ilvl w:val="0"/>
          <w:numId w:val="12"/>
        </w:numPr>
        <w:tabs>
          <w:tab w:val="clear" w:pos="709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/>
      </w:pPr>
      <w:r>
        <w:rPr>
          <w:rFonts w:ascii="Times New Roman" w:hAnsi="Times New Roman"/>
        </w:rPr>
        <w:t xml:space="preserve">индексы изменения сметных цен </w:t>
      </w:r>
      <w:r>
        <w:rPr>
          <w:rFonts w:ascii="Times New Roman" w:hAnsi="Times New Roman"/>
          <w:b/>
        </w:rPr>
        <w:t>на перевозку грузов</w:t>
      </w:r>
      <w:r>
        <w:rPr>
          <w:rFonts w:ascii="Times New Roman" w:hAnsi="Times New Roman"/>
        </w:rPr>
        <w:t xml:space="preserve"> 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>
      <w:pPr>
        <w:pStyle w:val="ListParagraph"/>
        <w:numPr>
          <w:ilvl w:val="0"/>
          <w:numId w:val="12"/>
        </w:numPr>
        <w:tabs>
          <w:tab w:val="clear" w:pos="709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/>
      </w:pPr>
      <w:r>
        <w:rPr>
          <w:rFonts w:ascii="Times New Roman" w:hAnsi="Times New Roman"/>
        </w:rPr>
        <w:t xml:space="preserve">индексы изменения сметной </w:t>
      </w:r>
      <w:r>
        <w:rPr>
          <w:rFonts w:ascii="Times New Roman" w:hAnsi="Times New Roman"/>
          <w:b/>
        </w:rPr>
        <w:t>стоимости оборудования</w:t>
      </w:r>
      <w:r>
        <w:rPr>
          <w:rFonts w:ascii="Times New Roman" w:hAnsi="Times New Roman"/>
        </w:rPr>
        <w:t xml:space="preserve"> – применяются к сметной стоимости оборудования;</w:t>
      </w:r>
    </w:p>
    <w:p>
      <w:pPr>
        <w:pStyle w:val="ListParagraph"/>
        <w:numPr>
          <w:ilvl w:val="0"/>
          <w:numId w:val="12"/>
        </w:numPr>
        <w:tabs>
          <w:tab w:val="clear" w:pos="709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/>
      </w:pPr>
      <w:r>
        <w:rPr>
          <w:rFonts w:ascii="Times New Roman" w:hAnsi="Times New Roman"/>
        </w:rPr>
        <w:t xml:space="preserve">индексы изменения сметной стоимости, рассчитываемые для применения к сметной стоимости отдельных видов </w:t>
      </w:r>
      <w:r>
        <w:rPr>
          <w:rFonts w:ascii="Times New Roman" w:hAnsi="Times New Roman"/>
          <w:b/>
        </w:rPr>
        <w:t>прочих работ и затрат.</w:t>
      </w:r>
    </w:p>
    <w:p>
      <w:pPr>
        <w:pStyle w:val="ConsPlusNormal1"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Для пересчета сметной стоимости в прогнозный уровень цен применяются текущие индексы – дефляторы в соответствии с прогнозом Министерства экономического развития РФ (прогноз «базовый»), определенные в установленном порядке для Заказчика в соответствии с планируемым периодом выполнения работ. </w:t>
      </w:r>
    </w:p>
    <w:p>
      <w:pPr>
        <w:pStyle w:val="ConsPlusNormal1"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случае, если планируемый период выполнения работ составляет до одного календарного года и сметная документация составлена в уровне цен того же года, индекс прогнозной инфляции на один месяц осуществляется извлечением квадратного корня двенадцатой степени из индекса прогнозной инфляции Минэкономразвития России (ИПЦ базовый, по строке - Показатели инфляции / в среднем за год ) установленного в целом за год:</w:t>
      </w:r>
    </w:p>
    <w:p>
      <w:pPr>
        <w:pStyle w:val="ConsPlusNormal1"/>
        <w:tabs>
          <w:tab w:val="clear" w:pos="709"/>
          <w:tab w:val="left" w:pos="426" w:leader="none"/>
          <w:tab w:val="left" w:pos="993" w:leader="none"/>
        </w:tabs>
        <w:spacing w:before="40" w:after="40"/>
        <w:ind w:firstLine="567"/>
        <w:jc w:val="center"/>
        <w:rPr>
          <w:rFonts w:ascii="Times New Roman" w:hAnsi="Times New Roman"/>
          <w:sz w:val="22"/>
          <w:szCs w:val="22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И</m:t>
              </m:r>
            </m:e>
            <m:sub>
              <m:r>
                <w:rPr>
                  <w:rFonts w:ascii="Cambria Math" w:hAnsi="Cambria Math"/>
                </w:rPr>
                <m:t xml:space="preserve">инфл</m:t>
              </m:r>
              <m:r>
                <w:rPr>
                  <w:rFonts w:ascii="Cambria Math" w:hAnsi="Cambria Math"/>
                </w:rPr>
                <m:t xml:space="preserve">.</m:t>
              </m:r>
              <m:r>
                <w:rPr>
                  <w:rFonts w:ascii="Cambria Math" w:hAnsi="Cambria Math"/>
                </w:rPr>
                <m:t xml:space="preserve">мес</m:t>
              </m:r>
            </m:sub>
          </m:sSub>
          <m:r>
            <w:rPr>
              <w:rFonts w:ascii="Cambria Math" w:hAnsi="Cambria Math"/>
            </w:rPr>
            <m:t xml:space="preserve">=</m:t>
          </m:r>
          <m:rad>
            <m:deg>
              <m:r>
                <w:rPr>
                  <w:rFonts w:ascii="Cambria Math" w:hAnsi="Cambria Math"/>
                </w:rPr>
                <m:t xml:space="preserve">12</m:t>
              </m:r>
            </m:deg>
            <m:e>
              <m:sSub>
                <m:e>
                  <m:r>
                    <w:rPr>
                      <w:rFonts w:ascii="Cambria Math" w:hAnsi="Cambria Math"/>
                    </w:rPr>
                    <m:t xml:space="preserve">И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инфлгод</m:t>
                  </m:r>
                </m:sub>
              </m:sSub>
            </m:e>
          </m:rad>
        </m:oMath>
      </m:oMathPara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где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 инфл мес – индекс прогнозной инфляции на один месяц, полученное значение округляется до 4 знаков после запятой;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 инфл год – индекс-дефлятор Министерства экономического развития Российской Федерации (ИПЦ базовый, по строке - Показатели инфляции / в среднем за год).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Для определения размера индекса прогнозной инфляции периодом в несколько месяцев, величина индекса прогнозной инфляции на один месяц возводится в степень размер которой соответствует количеству месяцев от даты определения стоимости работ до даты окончания работ, принимается среднее значение индекса-дефлятора, между индексом прогнозной инфляции на месяц начала производства работ и индексом на месяц окончания производства работ:</w:t>
      </w:r>
    </w:p>
    <w:p>
      <w:pPr>
        <w:pStyle w:val="Style36"/>
        <w:numPr>
          <w:ilvl w:val="0"/>
          <w:numId w:val="10"/>
        </w:numPr>
        <w:tabs>
          <w:tab w:val="clear" w:pos="709"/>
          <w:tab w:val="left" w:pos="708" w:leader="none"/>
        </w:tabs>
        <w:jc w:val="center"/>
        <w:rPr>
          <w:rFonts w:ascii="Times New Roman" w:hAnsi="Times New Roman"/>
          <w:sz w:val="22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И</m:t>
            </m:r>
          </m:e>
          <m:sub>
            <m:r>
              <w:rPr>
                <w:rFonts w:ascii="Cambria Math" w:hAnsi="Cambria Math"/>
              </w:rPr>
              <m:t xml:space="preserve">инфл</m:t>
            </m:r>
            <m: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пер</m:t>
            </m:r>
            <m:r>
              <w:rPr>
                <w:rFonts w:ascii="Cambria Math" w:hAnsi="Cambria Math"/>
              </w:rPr>
              <m:t xml:space="preserve">.</m:t>
            </m:r>
          </m:sub>
        </m:sSub>
        <m:r>
          <w:rPr>
            <w:rFonts w:ascii="Cambria Math" w:hAnsi="Cambria Math"/>
          </w:rPr>
          <m:t xml:space="preserve">=</m:t>
        </m:r>
        <m:d>
          <m:dPr>
            <m:begChr m:val="("/>
            <m:endChr m:val=")"/>
          </m:dPr>
          <m:e>
            <m:f>
              <m:num>
                <m:sSub>
                  <m:e>
                    <m:r>
                      <w:rPr>
                        <w:rFonts w:ascii="Cambria Math" w:hAnsi="Cambria Math"/>
                      </w:rPr>
                      <m:t xml:space="preserve">И</m:t>
                    </m:r>
                  </m:e>
                  <m:sub>
                    <m:sSup>
                      <m:e>
                        <m:r>
                          <w:rPr>
                            <w:rFonts w:ascii="Cambria Math" w:hAnsi="Cambria Math"/>
                          </w:rPr>
                          <m:t xml:space="preserve">инфл</m:t>
                        </m:r>
                        <m:r>
                          <w:rPr>
                            <w:rFonts w:ascii="Cambria Math" w:hAnsi="Cambria Math"/>
                          </w:rPr>
                          <m:t xml:space="preserve">.</m:t>
                        </m:r>
                        <m:r>
                          <w:rPr>
                            <w:rFonts w:ascii="Cambria Math" w:hAnsi="Cambria Math"/>
                          </w:rPr>
                          <m:t xml:space="preserve">мес</m:t>
                        </m:r>
                        <m:r>
                          <w:rPr>
                            <w:rFonts w:ascii="Cambria Math" w:hAnsi="Cambria Math"/>
                          </w:rPr>
                          <m:t xml:space="preserve">.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 xml:space="preserve">n</m:t>
                        </m:r>
                      </m:sup>
                    </m:sSup>
                  </m:sub>
                </m:sSub>
                <m:r>
                  <w:rPr>
                    <w:rFonts w:ascii="Cambria Math" w:hAnsi="Cambria Math"/>
                  </w:rPr>
                  <m:t xml:space="preserve">−</m:t>
                </m:r>
                <m:r>
                  <w:rPr>
                    <w:rFonts w:ascii="Cambria Math" w:hAnsi="Cambria Math"/>
                  </w:rPr>
                  <m:t xml:space="preserve">1</m:t>
                </m:r>
              </m:num>
              <m:den>
                <m:r>
                  <w:rPr>
                    <w:rFonts w:ascii="Cambria Math" w:hAnsi="Cambria Math"/>
                  </w:rPr>
                  <m:t xml:space="preserve">2</m:t>
                </m:r>
              </m:den>
            </m:f>
          </m:e>
        </m:d>
        <m:r>
          <w:rPr>
            <w:rFonts w:ascii="Cambria Math" w:hAnsi="Cambria Math"/>
          </w:rPr>
          <m:t xml:space="preserve">+</m:t>
        </m:r>
        <m:r>
          <w:rPr>
            <w:rFonts w:ascii="Cambria Math" w:hAnsi="Cambria Math"/>
          </w:rPr>
          <m:t xml:space="preserve">1</m:t>
        </m:r>
      </m:oMath>
      <w:r>
        <w:rPr>
          <w:rFonts w:eastAsia="Times New Roman" w:cs="Times New Roman" w:ascii="Times New Roman" w:hAnsi="Times New Roman"/>
          <w:sz w:val="22"/>
          <w:lang w:eastAsia="ru-RU"/>
        </w:rPr>
        <w:t xml:space="preserve">       </w:t>
      </w:r>
      <w:r>
        <w:rPr>
          <w:rFonts w:eastAsia="Times New Roman" w:cs="Times New Roman" w:ascii="Times New Roman" w:hAnsi="Times New Roman"/>
          <w:sz w:val="22"/>
          <w:lang w:eastAsia="ru-RU"/>
        </w:rPr>
        <w:t>(1)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где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 инф пер – индекс прогнозной инфляции для периода выполнения работ, полученное значение округляется до 4 знаков после запятой.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если срок выполнения работ превышает календарный год, то индекс прогнозной инфляции для второго и последующих годов, определяется с учетом установленных договором сроков строительства по формуле: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Цд=С * Иинфл     (2)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где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Цд – стоимость договора (этапа);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 - сметная стоимость подрядных работ, подлежащих выполнению подрядчиком;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Иинф – индекс инфляции, рассчитываемый по формуле: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 инф = Д1*К1+Д2*К2+...+Дi*Кi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где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Д1, Д2, Дi - доля сметной стоимости работ соответственно в 1-й, 2-й, 3-й, i-ый годы строительства;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 - год завершения строительства объекта;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К1 - индекс прогнозной инфляции за первый год строительства объекта, определяемый как среднее арифметическое между индексом прогнозной инфляции на дату начала строительства объекта и индексом прогнозной инфляции на декабрь первого года строительства объекта;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К2 -индекс прогнозной инфляции, учитывающий инфляцию за первый и второй годы строительства объекта. Рассчитывается как произведение индекса прогнозной инфляции, устанавливаемого нарастающим итогом на декабрь первого года строительства объекта, и индекса прогнозной инфляции на второй год строительства объекта, определенного как среднее арифметическое между индексом прогнозной инфляции на январь второго года строительства объекта и индекса прогнозной инфляции на декабрь второго года строительства объекта;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Кi - индекс прогнозной инфляции, учитывающий инфляцию за весь период строительства объекта. Указанный индекс рассчитывается как произведение индекса прогнозной инфляции, устанавливаемого нарастающим итогом на декабрь предшествующего года строительства объекта, и индекса прогнозной инфляции на последний год строительства объекта, определенного как среднее арифметическое между индексом прогнозной инфляции на январь последнего года строительства объекта и индексом прогнозной инфляции на дату окончания строительства объекта в последнем году (пример расчета индекса-дефлятора приведен в Приложении 5 к настоящим Требованиям).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этом: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если срок выполнения работ указан в целом по договору (дата начала работ – дата окончание работ), применяется единый дефлятор, в соответствии с формулой (2);</w:t>
      </w:r>
    </w:p>
    <w:p>
      <w:pPr>
        <w:pStyle w:val="ConsPlusNormal1"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2) если договором предусмотрен график выполнения работ с разбивкой на этапы (дата начала работ по этапу – дата окончания работ по этапу), дефлятор применяется в соответствии с таким графиком, и рассчитывается на каждый этап, в соответствии с формулой (2).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/>
      </w:pP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t xml:space="preserve">В случае </w:t>
      </w:r>
      <w:r>
        <w:rPr>
          <w:rFonts w:ascii="Times New Roman" w:hAnsi="Times New Roman"/>
          <w:i/>
        </w:rPr>
        <w:t>отсутствия</w:t>
      </w:r>
      <w:r>
        <w:rPr>
          <w:rFonts w:ascii="Times New Roman" w:hAnsi="Times New Roman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 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отсутствии информации о сметных ценах в ФГИС ЦС и ФССЦ по материальным ресурсам и оборудованию, их сметная цена определяется по наиболее экономичному варианту, определенному на основании сбора информации о текущих ценах (конъюнктурный анализ) в соответствии с Методикой определения сметной стоимости строительства (Приказ Минстроя России от 04.08.2020г. №421/пр, п.13). Результаты конъюнктурного анализа оформляются в соответствии с формой, приведенной в Приложении №1 к Методике определения сметной стоимости строительства.</w:t>
      </w:r>
    </w:p>
    <w:p>
      <w:pPr>
        <w:pStyle w:val="ConsPlusNormal1"/>
        <w:numPr>
          <w:ilvl w:val="0"/>
          <w:numId w:val="5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/>
      </w:pPr>
      <w:r>
        <w:rPr>
          <w:rFonts w:ascii="Times New Roman" w:hAnsi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</w:t>
      </w:r>
      <w:r>
        <w:rPr>
          <w:rFonts w:cs="Times New Roman" w:ascii="Times New Roman" w:hAnsi="Times New Roman"/>
          <w:color w:val="000000"/>
          <w:sz w:val="22"/>
          <w:szCs w:val="22"/>
        </w:rPr>
        <w:t>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ConsPlusNormal1"/>
        <w:numPr>
          <w:ilvl w:val="0"/>
          <w:numId w:val="5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rFonts w:cs="Times New Roman" w:ascii="Times New Roman" w:hAnsi="Times New Roman"/>
          <w:color w:val="FF0000"/>
          <w:sz w:val="22"/>
          <w:szCs w:val="22"/>
        </w:rPr>
        <w:t xml:space="preserve"> 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Транспортные затраты определяются следующими методами:</w:t>
      </w:r>
    </w:p>
    <w:p>
      <w:pPr>
        <w:pStyle w:val="ListParagraph"/>
        <w:numPr>
          <w:ilvl w:val="1"/>
          <w:numId w:val="5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по доставке материальных ресурсов:</w:t>
      </w:r>
      <w:r>
        <w:rPr>
          <w:rFonts w:ascii="Times New Roman" w:hAnsi="Times New Roman"/>
        </w:rPr>
        <w:t xml:space="preserve"> </w:t>
      </w:r>
    </w:p>
    <w:p>
      <w:pPr>
        <w:pStyle w:val="ConsPlusNormal1"/>
        <w:numPr>
          <w:ilvl w:val="0"/>
          <w:numId w:val="8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отсутствии информации во ФГИС ЦС транспортные затраты могут определяться по результатам конъюнктурного анализа в соответствии с пп. 13-21 Методики определения сметной стоимости (Приказ Минстроя России от 04.08.2020г. №421/пр). Результаты конъюнктурного анализа оформляются в соответствии с формой, приведенной в Приложении №1 к Методике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ListParagraph"/>
        <w:numPr>
          <w:ilvl w:val="1"/>
          <w:numId w:val="5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по доставке оборудования</w:t>
      </w:r>
      <w:r>
        <w:rPr>
          <w:rFonts w:ascii="Times New Roman" w:hAnsi="Times New Roman"/>
        </w:rPr>
        <w:t>: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отсутствии информации во ФГИС ЦС транспортные затраты могут определяться по результатам конъюнктурного анализа в соответствии с пп. 13-21 Методики определения сметной стоимости (Приказ Минстроя России от 04.08.2020г. №421/пр). Результаты конъюнктурного анализа оформляются в соответствии с формой, приведенной в Приложении №1 к Методике определения сметной стоимости строительства.</w:t>
      </w:r>
    </w:p>
    <w:p>
      <w:pPr>
        <w:pStyle w:val="ConsPlusNormal1"/>
        <w:numPr>
          <w:ilvl w:val="0"/>
          <w:numId w:val="8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1" w:name="_Hlk86255346"/>
      <w:r>
        <w:rPr>
          <w:rFonts w:cs="Times New Roman" w:ascii="Times New Roman" w:hAnsi="Times New Roman"/>
          <w:sz w:val="22"/>
          <w:szCs w:val="22"/>
        </w:rPr>
        <w:t xml:space="preserve"> </w:t>
      </w:r>
      <w:bookmarkEnd w:id="1"/>
      <w:r>
        <w:rPr>
          <w:rFonts w:cs="Times New Roman" w:ascii="Times New Roman" w:hAnsi="Times New Roman"/>
          <w:sz w:val="22"/>
          <w:szCs w:val="22"/>
        </w:rPr>
        <w:t>указанными выше способами), по решению заказчика.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851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1"/>
        <w:numPr>
          <w:ilvl w:val="0"/>
          <w:numId w:val="7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2% -для материальных ресурсов (кроме металлоконструкций);</w:t>
      </w:r>
    </w:p>
    <w:p>
      <w:pPr>
        <w:pStyle w:val="ConsPlusNormal1"/>
        <w:numPr>
          <w:ilvl w:val="0"/>
          <w:numId w:val="7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0,75%- для металлоконструкций;</w:t>
      </w:r>
    </w:p>
    <w:p>
      <w:pPr>
        <w:pStyle w:val="ConsPlusNormal1"/>
        <w:numPr>
          <w:ilvl w:val="0"/>
          <w:numId w:val="7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1,2% - для оборудования.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Затраты на эксплуатацию строительной техники, не учтенной нормами и расценками, включенными в ФРСН, определяются по наиболее экономичному варианту, определенному на основании сбора информации о текущих ценах (конъюнктурный анализ) в соответствии с Методикой определения сметной стоимости (Приказ Минстроя России от 04.08.2020г. №421/пр, п.13), и включаются в Главу 9 ССРСС. Результаты конъюнктурного анализа оформляются в соответствии с формой, приведенной в Приложении №1 к Методике определения сметной стоимости строительства.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numPr>
          <w:ilvl w:val="0"/>
          <w:numId w:val="5"/>
        </w:numPr>
        <w:tabs>
          <w:tab w:val="left" w:pos="284" w:leader="none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Резерв</w:t>
      </w:r>
      <w:r>
        <w:rPr>
          <w:rFonts w:ascii="Times New Roman" w:hAnsi="Times New Roman"/>
        </w:rPr>
        <w:t xml:space="preserve"> средств на непредвиденные работы и затраты определять в Технических </w:t>
      </w:r>
    </w:p>
    <w:p>
      <w:pPr>
        <w:pStyle w:val="ConsPlusNormal1"/>
        <w:widowControl/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требованиях и начислять в смете в процентах в размере, указанном в утвержденных Технических требованиях. Порядок расчета за непредвиденные работы и затраты оговаривать в договоре подряда.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накладных расходов по видам строительных, ремонтно-</w:t>
      </w:r>
    </w:p>
    <w:p>
      <w:pPr>
        <w:pStyle w:val="ConsPlusNormal1"/>
        <w:widowControl/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строительных, монтажных и пусконаладочных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сметной прибыли по видам строительных, ремонтно-</w:t>
      </w:r>
    </w:p>
    <w:p>
      <w:pPr>
        <w:pStyle w:val="ConsPlusNormal1"/>
        <w:widowControl/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Стоимость</w:t>
      </w:r>
      <w:r>
        <w:rPr>
          <w:rFonts w:ascii="Times New Roman" w:hAnsi="Times New Roman"/>
        </w:rPr>
        <w:t xml:space="preserve">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>
        <w:rPr>
          <w:rFonts w:ascii="Times New Roman" w:hAnsi="Times New Roman"/>
          <w:color w:val="000000"/>
        </w:rPr>
        <w:t>(образец формы расчета представлен в Приложении № 2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перевооружению).</w:t>
      </w:r>
      <w:r>
        <w:rPr>
          <w:rFonts w:ascii="Times New Roman" w:hAnsi="Times New Roman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b/>
          <w:highlight w:val="lightGray"/>
          <w:u w:val="single"/>
        </w:rPr>
      </w:pPr>
      <w:r>
        <w:rPr>
          <w:rFonts w:ascii="Times New Roman" w:hAnsi="Times New Roman"/>
          <w:highlight w:val="lightGray"/>
        </w:rPr>
        <w:t xml:space="preserve">В </w:t>
      </w:r>
      <w:r>
        <w:rPr>
          <w:rFonts w:ascii="Times New Roman" w:hAnsi="Times New Roman"/>
          <w:color w:val="000000"/>
          <w:highlight w:val="lightGray"/>
        </w:rPr>
        <w:t>локальных</w:t>
      </w:r>
      <w:r>
        <w:rPr>
          <w:rFonts w:ascii="Times New Roman" w:hAnsi="Times New Roman"/>
          <w:highlight w:val="lightGray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highlight w:val="lightGray"/>
          <w:u w:val="single"/>
        </w:rPr>
        <w:t>округлять:</w:t>
      </w:r>
    </w:p>
    <w:p>
      <w:pPr>
        <w:pStyle w:val="ConsPlusNormal1"/>
        <w:numPr>
          <w:ilvl w:val="0"/>
          <w:numId w:val="14"/>
        </w:numPr>
        <w:tabs>
          <w:tab w:val="clear" w:pos="709"/>
          <w:tab w:val="left" w:pos="900" w:leader="none"/>
        </w:tabs>
        <w:spacing w:before="40" w:after="40"/>
        <w:ind w:left="567" w:hanging="0"/>
        <w:jc w:val="both"/>
        <w:rPr/>
      </w:pPr>
      <w:r>
        <w:rPr>
          <w:rFonts w:cs="Times New Roman" w:ascii="Times New Roman" w:hAnsi="Times New Roman"/>
          <w:sz w:val="22"/>
          <w:szCs w:val="22"/>
          <w:highlight w:val="lightGray"/>
        </w:rPr>
        <w:t>при базисно-индексном методе до двух знаков после запятой (до копеек);</w:t>
      </w:r>
    </w:p>
    <w:p>
      <w:pPr>
        <w:pStyle w:val="ConsPlusNormal1"/>
        <w:numPr>
          <w:ilvl w:val="0"/>
          <w:numId w:val="14"/>
        </w:numPr>
        <w:tabs>
          <w:tab w:val="clear" w:pos="709"/>
          <w:tab w:val="left" w:pos="900" w:leader="none"/>
        </w:tabs>
        <w:spacing w:before="40" w:after="40"/>
        <w:ind w:left="567" w:hanging="0"/>
        <w:jc w:val="both"/>
        <w:rPr/>
      </w:pPr>
      <w:r>
        <w:rPr>
          <w:rFonts w:cs="Times New Roman" w:ascii="Times New Roman" w:hAnsi="Times New Roman"/>
          <w:sz w:val="22"/>
          <w:szCs w:val="22"/>
          <w:highlight w:val="lightGray"/>
        </w:rPr>
        <w:t>при ресурсно-индексном и ресурсным методах, а также в сметных расчетах на отдельные виды затрат - до двух знаков после запятой (до копеек);</w:t>
      </w:r>
    </w:p>
    <w:p>
      <w:pPr>
        <w:pStyle w:val="ConsPlusNormal1"/>
        <w:numPr>
          <w:ilvl w:val="0"/>
          <w:numId w:val="14"/>
        </w:numPr>
        <w:tabs>
          <w:tab w:val="clear" w:pos="709"/>
          <w:tab w:val="left" w:pos="900" w:leader="none"/>
        </w:tabs>
        <w:spacing w:before="40" w:after="40"/>
        <w:ind w:left="567" w:hanging="0"/>
        <w:jc w:val="both"/>
        <w:rPr/>
      </w:pPr>
      <w:r>
        <w:rPr>
          <w:rFonts w:cs="Times New Roman" w:ascii="Times New Roman" w:hAnsi="Times New Roman"/>
          <w:sz w:val="22"/>
          <w:szCs w:val="22"/>
          <w:highlight w:val="lightGray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Выходные</w:t>
      </w:r>
      <w:r>
        <w:rPr>
          <w:rFonts w:ascii="Times New Roman" w:hAnsi="Times New Roman"/>
        </w:rPr>
        <w:t xml:space="preserve"> формы сметных расчетов должны соответствовать Образцу согласно Приложению 1.5.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связи с предоставлением Заказчиком услуг, указанных в разделе Технических требований «Иные условия поставки товаров, выполнения работ, оказания услуг»</w:t>
      </w:r>
      <w:r>
        <w:rPr>
          <w:rStyle w:val="FootnoteReference"/>
          <w:rFonts w:ascii="Times New Roman" w:hAnsi="Times New Roman"/>
        </w:rPr>
        <w:footnoteReference w:id="2"/>
      </w:r>
      <w:r>
        <w:rPr>
          <w:rFonts w:ascii="Times New Roman" w:hAnsi="Times New Roman"/>
        </w:rPr>
        <w:t>:</w:t>
      </w:r>
    </w:p>
    <w:p>
      <w:pPr>
        <w:pStyle w:val="ConsPlusNormal1"/>
        <w:widowControl/>
        <w:numPr>
          <w:ilvl w:val="1"/>
          <w:numId w:val="5"/>
        </w:numPr>
        <w:tabs>
          <w:tab w:val="left" w:pos="709" w:leader="none"/>
          <w:tab w:val="left" w:pos="851" w:leader="none"/>
          <w:tab w:val="left" w:pos="1560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</w:t>
      </w:r>
      <w:r>
        <w:rPr>
          <w:rFonts w:cs="Times New Roman" w:ascii="Times New Roman" w:hAnsi="Times New Roman"/>
          <w:color w:val="000000"/>
          <w:sz w:val="22"/>
          <w:szCs w:val="22"/>
        </w:rPr>
        <w:t>сметной</w:t>
      </w:r>
      <w:r>
        <w:rPr>
          <w:rFonts w:cs="Times New Roman" w:ascii="Times New Roman" w:hAnsi="Times New Roman"/>
          <w:sz w:val="22"/>
          <w:szCs w:val="22"/>
        </w:rPr>
        <w:t xml:space="preserve"> документации при определении стоимости работ по расценкам, указанным в сборниках «Базовых цен на работы по ремонту энергетического оборудования», затраты на услуги, предоставляемые Заказчиком подрядным организациям не учитывать. </w:t>
      </w:r>
    </w:p>
    <w:p>
      <w:pPr>
        <w:pStyle w:val="ConsPlusNormal1"/>
        <w:widowControl/>
        <w:numPr>
          <w:ilvl w:val="1"/>
          <w:numId w:val="5"/>
        </w:numPr>
        <w:tabs>
          <w:tab w:val="left" w:pos="709" w:leader="none"/>
          <w:tab w:val="left" w:pos="851" w:leader="none"/>
          <w:tab w:val="left" w:pos="1560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Из норм и расценок, внесенных в ФРСН, при составлении сметной документации исключать затраты:</w:t>
      </w:r>
    </w:p>
    <w:p>
      <w:pPr>
        <w:pStyle w:val="ConsPlusNormal1"/>
        <w:widowControl/>
        <w:numPr>
          <w:ilvl w:val="2"/>
          <w:numId w:val="5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предоставляемым грузоподъемным механизмам, учтенным в составе сметных норм и расценок:</w:t>
      </w:r>
    </w:p>
    <w:p>
      <w:pPr>
        <w:pStyle w:val="ConsPlusNormal1"/>
        <w:numPr>
          <w:ilvl w:val="0"/>
          <w:numId w:val="6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Исключать из норм и расценок предоставляемые грузоподъемные механизмы. </w:t>
      </w:r>
    </w:p>
    <w:p>
      <w:pPr>
        <w:pStyle w:val="ConsPlusNormal1"/>
        <w:widowControl/>
        <w:tabs>
          <w:tab w:val="left" w:pos="709" w:leader="none"/>
          <w:tab w:val="left" w:pos="851" w:leader="none"/>
          <w:tab w:val="left" w:pos="1418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</w:t>
      </w:r>
    </w:p>
    <w:p>
      <w:pPr>
        <w:pStyle w:val="ConsPlusNormal1"/>
        <w:widowControl/>
        <w:numPr>
          <w:ilvl w:val="2"/>
          <w:numId w:val="5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предоставляемой электроэнергии (в том числе, в составе стоимости машино-часа):</w:t>
      </w:r>
    </w:p>
    <w:p>
      <w:pPr>
        <w:pStyle w:val="ConsPlusNormal1"/>
        <w:numPr>
          <w:ilvl w:val="0"/>
          <w:numId w:val="6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2"/>
          <w:szCs w:val="22"/>
        </w:rPr>
        <w:t>Рассчитанная сумма возврата стоимости 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</w:t>
      </w:r>
      <w:r>
        <w:rPr>
          <w:rFonts w:ascii="Times New Roman" w:hAnsi="Times New Roman"/>
          <w:sz w:val="22"/>
          <w:szCs w:val="22"/>
        </w:rPr>
        <w:t>ской энергии учитывается в главе 8)</w:t>
      </w:r>
      <w:r>
        <w:rPr>
          <w:rStyle w:val="FootnoteReference"/>
          <w:rFonts w:ascii="Times New Roman" w:hAnsi="Times New Roman"/>
          <w:sz w:val="22"/>
          <w:szCs w:val="22"/>
        </w:rPr>
        <w:footnoteReference w:id="3"/>
      </w:r>
      <w:r>
        <w:rPr>
          <w:rFonts w:ascii="Times New Roman" w:hAnsi="Times New Roman"/>
          <w:sz w:val="22"/>
          <w:szCs w:val="22"/>
        </w:rPr>
        <w:t xml:space="preserve">. </w:t>
      </w:r>
    </w:p>
    <w:p>
      <w:pPr>
        <w:pStyle w:val="ConsPlusNormal1"/>
        <w:numPr>
          <w:ilvl w:val="0"/>
          <w:numId w:val="6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Индекс пересчета в текущие цены применять аналогичный примененному в сметной документации.</w:t>
      </w:r>
    </w:p>
    <w:p>
      <w:pPr>
        <w:pStyle w:val="ConsPlusNormal1"/>
        <w:numPr>
          <w:ilvl w:val="0"/>
          <w:numId w:val="6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>
      <w:pPr>
        <w:pStyle w:val="ConsPlusNormal1"/>
        <w:widowControl/>
        <w:numPr>
          <w:ilvl w:val="2"/>
          <w:numId w:val="5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предоставляемому сжатому воздуху:</w:t>
      </w:r>
    </w:p>
    <w:p>
      <w:pPr>
        <w:pStyle w:val="ConsPlusNormal1"/>
        <w:numPr>
          <w:ilvl w:val="0"/>
          <w:numId w:val="6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 xml:space="preserve">Из норм и расценок исключать стоимость компрессоров. </w:t>
      </w:r>
    </w:p>
    <w:p>
      <w:pPr>
        <w:pStyle w:val="ConsPlusNormal1"/>
        <w:widowControl/>
        <w:numPr>
          <w:ilvl w:val="2"/>
          <w:numId w:val="5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предоставляемой воде:</w:t>
      </w:r>
    </w:p>
    <w:p>
      <w:pPr>
        <w:pStyle w:val="ConsPlusNormal1"/>
        <w:numPr>
          <w:ilvl w:val="0"/>
          <w:numId w:val="6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>Из норм и расценок исключать стоимость воды.</w:t>
      </w:r>
    </w:p>
    <w:p>
      <w:pPr>
        <w:pStyle w:val="ConsPlusNormal1"/>
        <w:widowControl/>
        <w:numPr>
          <w:ilvl w:val="2"/>
          <w:numId w:val="5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Учтенные в составе накладных расходов:</w:t>
      </w:r>
    </w:p>
    <w:p>
      <w:pPr>
        <w:pStyle w:val="ConsPlusNormal1"/>
        <w:numPr>
          <w:ilvl w:val="0"/>
          <w:numId w:val="6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>расходы по обеспечению санитарно-гигиенических и бытовых условий (удельный вес статьи затрат в накладных расходах - 3,02%);</w:t>
      </w:r>
    </w:p>
    <w:p>
      <w:pPr>
        <w:pStyle w:val="ConsPlusNormal1"/>
        <w:numPr>
          <w:ilvl w:val="0"/>
          <w:numId w:val="6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>содержание пожарной и сторожевой охраны (удельный вес статьи затрат в накладных расходах - 2,01%);</w:t>
      </w:r>
    </w:p>
    <w:p>
      <w:pPr>
        <w:pStyle w:val="ConsPlusNormal1"/>
        <w:numPr>
          <w:ilvl w:val="0"/>
          <w:numId w:val="6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расходы</w:t>
      </w:r>
      <w:r>
        <w:rPr>
          <w:rFonts w:cs="Times New Roman" w:ascii="Times New Roman" w:hAnsi="Times New Roman"/>
          <w:sz w:val="22"/>
          <w:szCs w:val="22"/>
        </w:rPr>
        <w:t xml:space="preserve"> по благоустройству и содержанию строительных площадок (удельный вес статьи затрат в накладных расходах – 1,61%)</w:t>
      </w:r>
    </w:p>
    <w:p>
      <w:pPr>
        <w:pStyle w:val="Normal"/>
        <w:tabs>
          <w:tab w:val="left" w:pos="709" w:leader="none"/>
          <w:tab w:val="left" w:pos="851" w:leader="none"/>
          <w:tab w:val="left" w:pos="1418" w:leader="none"/>
        </w:tabs>
        <w:spacing w:lineRule="auto" w:line="240" w:before="40" w:after="40"/>
        <w:ind w:firstLine="709"/>
        <w:jc w:val="both"/>
        <w:rPr/>
      </w:pPr>
      <w:r>
        <w:rPr>
          <w:rFonts w:ascii="Times New Roman" w:hAnsi="Times New Roman"/>
        </w:rPr>
        <w:t>исключаются путем применения понижающего коэффициента к нормативам накладных расходов на строительные работы в размере 0,93</w:t>
      </w:r>
      <w:r>
        <w:rPr>
          <w:rStyle w:val="FootnoteReference"/>
          <w:rFonts w:ascii="Times New Roman" w:hAnsi="Times New Roman"/>
        </w:rPr>
        <w:footnoteReference w:id="4"/>
      </w:r>
      <w:r>
        <w:rPr>
          <w:rFonts w:ascii="Times New Roman" w:hAnsi="Times New Roman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/>
      </w:pPr>
      <w:r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/>
      </w:pPr>
      <w:r>
        <w:rPr>
          <w:rFonts w:ascii="Times New Roman" w:hAnsi="Times New Roman"/>
        </w:rPr>
        <w:t xml:space="preserve">ССРСС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 Обязательными приложениями к ССРСС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>
        <w:rPr>
          <w:rFonts w:ascii="Times New Roman" w:hAnsi="Times New Roman"/>
          <w:color w:val="000000"/>
        </w:rPr>
        <w:t>Формат ССРСС выполнять по Образцу Приложения № 1.1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/>
      </w:pPr>
      <w:r>
        <w:rPr>
          <w:rFonts w:ascii="Times New Roman" w:hAnsi="Times New Roman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на бумажном носителе (количество указано в конкурсной документации) 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электронном носителе (в формате «xml» ПК «Гранд-Смета», «Excel», «pdf»).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формате ПК «Гранд-смета» выходная форма для печати указана ниже: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737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/>
        <w:drawing>
          <wp:inline distT="0" distB="0" distL="0" distR="0">
            <wp:extent cx="5748020" cy="346138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13558" r="0" b="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020" cy="346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br w:type="page"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к договорам на реконструкцию, техническое перевооружение и ремонт и дополнительным соглашениям к указанным договорам.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При наличии двух и более сметных расчетов составлять ССРСС в текущем уровне цен по форме Приложения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1.1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 по образцу.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2"/>
          <w:szCs w:val="22"/>
        </w:rPr>
        <w:t>ЛСР (</w:t>
      </w:r>
      <w:r>
        <w:rPr>
          <w:rFonts w:ascii="Times New Roman" w:hAnsi="Times New Roman"/>
          <w:color w:val="000000"/>
          <w:sz w:val="22"/>
        </w:rPr>
        <w:t xml:space="preserve">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1.2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к Требованиям </w:t>
      </w:r>
      <w:r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>
      <w:pPr>
        <w:sectPr>
          <w:footerReference w:type="default" r:id="rId3"/>
          <w:footnotePr>
            <w:numFmt w:val="decimal"/>
            <w:numRestart w:val="eachPage"/>
          </w:footnotePr>
          <w:type w:val="nextPage"/>
          <w:pgSz w:w="11906" w:h="16838"/>
          <w:pgMar w:left="1276" w:right="707" w:gutter="0" w:header="0" w:top="851" w:footer="709" w:bottom="766"/>
          <w:pgNumType w:fmt="decimal"/>
          <w:formProt w:val="false"/>
          <w:titlePg/>
          <w:textDirection w:val="lrTb"/>
          <w:docGrid w:type="default" w:linePitch="360" w:charSpace="0"/>
        </w:sectPr>
        <w:pStyle w:val="ConsPlusNormal1"/>
        <w:widowControl/>
        <w:numPr>
          <w:ilvl w:val="0"/>
          <w:numId w:val="4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ССРСС, построчные и итоговые суммы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указывать </w:t>
      </w:r>
      <w:r>
        <w:rPr>
          <w:rFonts w:ascii="Times New Roman" w:hAnsi="Times New Roman"/>
          <w:color w:val="000000"/>
          <w:sz w:val="22"/>
        </w:rPr>
        <w:t>в рублях с округлением до двух знаков после запятой. Величину НДС не указывать.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>
      <w:pPr>
        <w:pStyle w:val="ConsPlusNormal1"/>
        <w:ind w:left="57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</w:rPr>
        <w:t>Приложение № 1.1</w:t>
      </w:r>
    </w:p>
    <w:p>
      <w:pPr>
        <w:pStyle w:val="ConsPlusNormal1"/>
        <w:ind w:left="57" w:firstLine="720"/>
        <w:rPr>
          <w:rFonts w:ascii="Times New Roman" w:hAnsi="Times New Roman"/>
        </w:rPr>
      </w:pPr>
      <w:r>
        <w:rPr>
          <w:rFonts w:ascii="Times New Roman" w:hAnsi="Times New Roman"/>
          <w:b/>
          <w:sz w:val="22"/>
          <w:szCs w:val="22"/>
        </w:rPr>
        <w:t xml:space="preserve">ОБРАЗЕЦ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>
      <w:pPr>
        <w:pStyle w:val="ConsPlusNormal1"/>
        <w:ind w:left="5811" w:hang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сметной документации на выполнение работ по программе ремонтов, реконструкции и техническому перевооружению 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</w:rPr>
        <w:t xml:space="preserve">Приложение №___                                                                                    к договору от_______№_____ </w:t>
      </w:r>
      <w:r>
        <w:rPr>
          <w:rFonts w:ascii="Times New Roman" w:hAnsi="Times New Roman"/>
          <w:lang w:val="en-US"/>
        </w:rPr>
        <w:t xml:space="preserve">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  <w:bookmarkStart w:id="2" w:name="P3258"/>
      <w:bookmarkStart w:id="3" w:name="P2506"/>
      <w:bookmarkStart w:id="4" w:name="P2522"/>
      <w:bookmarkStart w:id="5" w:name="P2523"/>
      <w:bookmarkStart w:id="6" w:name="P2524"/>
      <w:bookmarkStart w:id="7" w:name="P2525"/>
      <w:bookmarkStart w:id="8" w:name="P2526"/>
      <w:bookmarkStart w:id="9" w:name="P2527"/>
      <w:bookmarkStart w:id="10" w:name="P2528"/>
      <w:bookmarkStart w:id="11" w:name="P2529"/>
      <w:bookmarkStart w:id="12" w:name="P2530"/>
      <w:bookmarkStart w:id="13" w:name="P2531"/>
      <w:bookmarkStart w:id="14" w:name="P2546"/>
      <w:bookmarkStart w:id="15" w:name="P2566"/>
      <w:bookmarkStart w:id="16" w:name="P2616"/>
      <w:bookmarkStart w:id="17" w:name="P2736"/>
      <w:bookmarkStart w:id="18" w:name="P2746"/>
      <w:bookmarkStart w:id="19" w:name="P2945"/>
      <w:bookmarkStart w:id="20" w:name="P3258"/>
      <w:bookmarkStart w:id="21" w:name="P2506"/>
      <w:bookmarkStart w:id="22" w:name="P2522"/>
      <w:bookmarkStart w:id="23" w:name="P2523"/>
      <w:bookmarkStart w:id="24" w:name="P2524"/>
      <w:bookmarkStart w:id="25" w:name="P2525"/>
      <w:bookmarkStart w:id="26" w:name="P2526"/>
      <w:bookmarkStart w:id="27" w:name="P2527"/>
      <w:bookmarkStart w:id="28" w:name="P2528"/>
      <w:bookmarkStart w:id="29" w:name="P2529"/>
      <w:bookmarkStart w:id="30" w:name="P2530"/>
      <w:bookmarkStart w:id="31" w:name="P2531"/>
      <w:bookmarkStart w:id="32" w:name="P2546"/>
      <w:bookmarkStart w:id="33" w:name="P2566"/>
      <w:bookmarkStart w:id="34" w:name="P2616"/>
      <w:bookmarkStart w:id="35" w:name="P2736"/>
      <w:bookmarkStart w:id="36" w:name="P2746"/>
      <w:bookmarkStart w:id="37" w:name="P2945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tbl>
      <w:tblPr>
        <w:tblW w:w="10915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3464"/>
        <w:gridCol w:w="7450"/>
      </w:tblGrid>
      <w:tr>
        <w:trPr>
          <w:trHeight w:val="1158" w:hRule="atLeast"/>
        </w:trPr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left="28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СОГЛАСОВАНО</w:t>
            </w:r>
            <w:r>
              <w:rPr>
                <w:rFonts w:cs="Times New Roman" w:ascii="Times New Roman" w:hAnsi="Times New Roman"/>
              </w:rPr>
              <w:t>:</w:t>
            </w:r>
          </w:p>
          <w:p>
            <w:pPr>
              <w:pStyle w:val="ConsPlusNormal1"/>
              <w:widowControl w:val="false"/>
              <w:ind w:right="-909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______________(Подрядчик )</w:t>
            </w:r>
          </w:p>
          <w:p>
            <w:pPr>
              <w:pStyle w:val="ConsPlusNormal1"/>
              <w:widowControl w:val="false"/>
              <w:tabs>
                <w:tab w:val="clear" w:pos="709"/>
                <w:tab w:val="left" w:pos="0" w:leader="none"/>
              </w:tabs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_______________(ФИО)</w:t>
            </w:r>
          </w:p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1"/>
              <w:widowControl w:val="false"/>
              <w:ind w:left="142" w:hanging="142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Заказчик:______________________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right="-3855" w:firstLine="7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УТВЕРЖДАЮ:</w:t>
            </w:r>
          </w:p>
          <w:p>
            <w:pPr>
              <w:pStyle w:val="ConsPlusNormal1"/>
              <w:widowControl w:val="false"/>
              <w:ind w:right="-909" w:hanging="0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b/>
              </w:rPr>
              <w:t xml:space="preserve">                                                              </w:t>
            </w:r>
            <w:r>
              <w:rPr>
                <w:rFonts w:cs="Times New Roman" w:ascii="Times New Roman" w:hAnsi="Times New Roman"/>
                <w:b/>
                <w:sz w:val="22"/>
              </w:rPr>
              <w:t xml:space="preserve">                             </w:t>
            </w:r>
            <w:r>
              <w:rPr>
                <w:rFonts w:cs="Times New Roman" w:ascii="Times New Roman" w:hAnsi="Times New Roman"/>
                <w:sz w:val="22"/>
              </w:rPr>
              <w:t>_____________(Заказчик )</w:t>
            </w:r>
          </w:p>
          <w:p>
            <w:pPr>
              <w:pStyle w:val="ConsPlusNormal1"/>
              <w:widowControl w:val="false"/>
              <w:ind w:left="2551" w:firstLine="7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sz w:val="22"/>
              </w:rPr>
              <w:t xml:space="preserve">                  </w:t>
            </w:r>
            <w:r>
              <w:rPr>
                <w:rFonts w:cs="Times New Roman" w:ascii="Times New Roman" w:hAnsi="Times New Roman"/>
                <w:sz w:val="22"/>
              </w:rPr>
              <w:t>______________(</w:t>
            </w:r>
            <w:r>
              <w:rPr>
                <w:rFonts w:cs="Times New Roman" w:ascii="Times New Roman" w:hAnsi="Times New Roman"/>
              </w:rPr>
              <w:t>ФИО)</w:t>
            </w:r>
          </w:p>
        </w:tc>
      </w:tr>
      <w:tr>
        <w:trPr/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14" w:type="dxa"/>
            <w:gridSpan w:val="2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Утвержден: __ ______________202__ г.</w:t>
            </w:r>
          </w:p>
        </w:tc>
      </w:tr>
    </w:tbl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1097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</w:t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>
          <w:trHeight w:val="22" w:hRule="atLeast"/>
        </w:trPr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/>
      </w:pPr>
      <w:r>
        <w:rPr/>
      </w:r>
    </w:p>
    <w:tbl>
      <w:tblPr>
        <w:tblW w:w="10982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633"/>
        <w:gridCol w:w="996"/>
        <w:gridCol w:w="281"/>
        <w:gridCol w:w="1272"/>
        <w:gridCol w:w="365"/>
        <w:gridCol w:w="1345"/>
        <w:gridCol w:w="426"/>
        <w:gridCol w:w="1131"/>
        <w:gridCol w:w="1561"/>
        <w:gridCol w:w="1424"/>
        <w:gridCol w:w="1546"/>
      </w:tblGrid>
      <w:tr>
        <w:trPr>
          <w:trHeight w:val="212" w:hRule="atLeast"/>
        </w:trPr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</w:rPr>
              <w:t>N</w:t>
            </w:r>
          </w:p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</w:rPr>
              <w:t>п/п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7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019" w:hRule="atLeast"/>
        </w:trPr>
        <w:tc>
          <w:tcPr>
            <w:tcW w:w="6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273" w:hRule="atLeast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27" w:hRule="atLeast"/>
        </w:trPr>
        <w:tc>
          <w:tcPr>
            <w:tcW w:w="3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tabs>
                <w:tab w:val="clear" w:pos="709"/>
                <w:tab w:val="left" w:pos="567" w:leader="none"/>
                <w:tab w:val="left" w:pos="2091" w:leader="none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   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Руководитель</w:t>
            </w:r>
          </w:p>
          <w:p>
            <w:pPr>
              <w:pStyle w:val="ConsPlusNormal1"/>
              <w:widowControl w:val="false"/>
              <w:tabs>
                <w:tab w:val="clear" w:pos="709"/>
                <w:tab w:val="left" w:pos="851" w:leader="none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4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Начальник</w:t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отдела</w:t>
            </w:r>
          </w:p>
        </w:tc>
        <w:tc>
          <w:tcPr>
            <w:tcW w:w="5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Заказчик</w:t>
            </w:r>
          </w:p>
        </w:tc>
        <w:tc>
          <w:tcPr>
            <w:tcW w:w="90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97" w:firstLine="720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8646" w:firstLine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программе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ремонтов, реконструкции и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tabs>
          <w:tab w:val="clear" w:pos="709"/>
          <w:tab w:val="left" w:pos="6804" w:leader="none"/>
        </w:tabs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>Приложение №___</w:t>
      </w:r>
    </w:p>
    <w:p>
      <w:pPr>
        <w:pStyle w:val="ConsPlusNormal1"/>
        <w:tabs>
          <w:tab w:val="clear" w:pos="709"/>
          <w:tab w:val="left" w:pos="6946" w:leader="none"/>
        </w:tabs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к договору от________№_____ </w:t>
      </w:r>
    </w:p>
    <w:tbl>
      <w:tblPr>
        <w:tblW w:w="10915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1222"/>
        <w:gridCol w:w="9692"/>
      </w:tblGrid>
      <w:tr>
        <w:trPr/>
        <w:tc>
          <w:tcPr>
            <w:tcW w:w="1222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                        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9692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222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692" w:type="dxa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</w:tr>
      <w:tr>
        <w:trPr/>
        <w:tc>
          <w:tcPr>
            <w:tcW w:w="10914" w:type="dxa"/>
            <w:gridSpan w:val="2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Утвержден __ 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10977"/>
      </w:tblGrid>
      <w:tr>
        <w:trPr/>
        <w:tc>
          <w:tcPr>
            <w:tcW w:w="10977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</w:t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/>
        <w:tc>
          <w:tcPr>
            <w:tcW w:w="10977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706" w:type="dxa"/>
        <w:jc w:val="left"/>
        <w:tblInd w:w="4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9"/>
        <w:gridCol w:w="990"/>
        <w:gridCol w:w="291"/>
        <w:gridCol w:w="1638"/>
        <w:gridCol w:w="57"/>
        <w:gridCol w:w="1699"/>
        <w:gridCol w:w="14"/>
        <w:gridCol w:w="1264"/>
        <w:gridCol w:w="1426"/>
        <w:gridCol w:w="1135"/>
        <w:gridCol w:w="1761"/>
      </w:tblGrid>
      <w:tr>
        <w:trPr>
          <w:trHeight w:val="311" w:hRule="atLeast"/>
        </w:trPr>
        <w:tc>
          <w:tcPr>
            <w:tcW w:w="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9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2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294" w:hRule="atLeast"/>
        </w:trPr>
        <w:tc>
          <w:tcPr>
            <w:tcW w:w="4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144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Сметы основного договора</w:t>
            </w:r>
          </w:p>
        </w:tc>
      </w:tr>
      <w:tr>
        <w:trPr>
          <w:trHeight w:val="287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39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по сметам основного договора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27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по главам №№: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 по ССР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83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i/>
                <w:sz w:val="18"/>
                <w:szCs w:val="18"/>
                <w:u w:val="single"/>
              </w:rPr>
              <w:t>Справочно</w:t>
            </w: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.</w:t>
            </w:r>
          </w:p>
          <w:p>
            <w:pPr>
              <w:pStyle w:val="ConsPlusNormal1"/>
              <w:widowControl w:val="false"/>
              <w:spacing w:before="0" w:after="0"/>
              <w:ind w:left="0" w:right="0"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1, без НДС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rPr/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48" w:type="dxa"/>
            <w:gridSpan w:val="4"/>
            <w:tcBorders/>
          </w:tcPr>
          <w:p>
            <w:pPr>
              <w:pStyle w:val="ConsPlusNormal1"/>
              <w:widowControl w:val="false"/>
              <w:tabs>
                <w:tab w:val="clear" w:pos="709"/>
                <w:tab w:val="left" w:pos="2091" w:leader="none"/>
              </w:tabs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ConsPlusNormal1"/>
              <w:widowControl w:val="false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проектной организации</w:t>
            </w:r>
          </w:p>
        </w:tc>
        <w:tc>
          <w:tcPr>
            <w:tcW w:w="7356" w:type="dxa"/>
            <w:gridSpan w:val="7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8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6" w:type="dxa"/>
            <w:gridSpan w:val="7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3348" w:type="dxa"/>
            <w:gridSpan w:val="4"/>
            <w:tcBorders/>
          </w:tcPr>
          <w:p>
            <w:pPr>
              <w:pStyle w:val="ConsPlusNormal1"/>
              <w:widowControl w:val="false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Главный инженер проекта</w:t>
            </w:r>
          </w:p>
        </w:tc>
        <w:tc>
          <w:tcPr>
            <w:tcW w:w="7356" w:type="dxa"/>
            <w:gridSpan w:val="7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8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6" w:type="dxa"/>
            <w:gridSpan w:val="7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ConsPlusNormal1"/>
              <w:widowControl w:val="false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Начальник</w:t>
            </w:r>
          </w:p>
        </w:tc>
        <w:tc>
          <w:tcPr>
            <w:tcW w:w="1695" w:type="dxa"/>
            <w:gridSpan w:val="2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13" w:type="dxa"/>
            <w:gridSpan w:val="2"/>
            <w:tcBorders/>
          </w:tcPr>
          <w:p>
            <w:pPr>
              <w:pStyle w:val="ConsPlusNormal1"/>
              <w:widowControl w:val="false"/>
              <w:ind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отдела</w:t>
            </w:r>
          </w:p>
        </w:tc>
        <w:tc>
          <w:tcPr>
            <w:tcW w:w="5586" w:type="dxa"/>
            <w:gridSpan w:val="4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586" w:type="dxa"/>
            <w:gridSpan w:val="4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ConsPlusNormal1"/>
              <w:widowControl w:val="false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8994" w:type="dxa"/>
            <w:gridSpan w:val="8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994" w:type="dxa"/>
            <w:gridSpan w:val="8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[должность, подпись (инициалы, фамилия)]</w:t>
            </w:r>
          </w:p>
        </w:tc>
      </w:tr>
    </w:tbl>
    <w:p>
      <w:pPr>
        <w:sectPr>
          <w:footerReference w:type="default" r:id="rId4"/>
          <w:footerReference w:type="first" r:id="rId5"/>
          <w:footnotePr>
            <w:numFmt w:val="decimal"/>
            <w:numRestart w:val="eachPage"/>
          </w:footnotePr>
          <w:type w:val="nextPage"/>
          <w:pgSz w:w="11906" w:h="16838"/>
          <w:pgMar w:left="426" w:right="567" w:gutter="0" w:header="0" w:top="0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426" w:hanging="42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left"/>
        <w:tblInd w:w="5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4"/>
        <w:gridCol w:w="851"/>
        <w:gridCol w:w="850"/>
        <w:gridCol w:w="1278"/>
        <w:gridCol w:w="1278"/>
        <w:gridCol w:w="1699"/>
        <w:gridCol w:w="1710"/>
        <w:gridCol w:w="2114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21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1"/>
        <w:jc w:val="both"/>
        <w:rPr>
          <w:b/>
        </w:rPr>
      </w:pPr>
      <w:r>
        <w:rPr>
          <w:b/>
        </w:rPr>
      </w:r>
    </w:p>
    <w:tbl>
      <w:tblPr>
        <w:tblW w:w="10773" w:type="dxa"/>
        <w:jc w:val="left"/>
        <w:tblInd w:w="2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5"/>
        <w:gridCol w:w="710"/>
        <w:gridCol w:w="850"/>
        <w:gridCol w:w="1210"/>
        <w:gridCol w:w="914"/>
        <w:gridCol w:w="851"/>
        <w:gridCol w:w="854"/>
        <w:gridCol w:w="851"/>
        <w:gridCol w:w="851"/>
        <w:gridCol w:w="705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2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797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4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erReference w:type="default" r:id="rId6"/>
          <w:footerReference w:type="first" r:id="rId7"/>
          <w:footnotePr>
            <w:numFmt w:val="decimal"/>
            <w:numRestart w:val="eachPage"/>
          </w:footnotePr>
          <w:type w:val="nextPage"/>
          <w:pgSz w:w="11906" w:h="16838"/>
          <w:pgMar w:left="426" w:right="924" w:gutter="0" w:header="0" w:top="284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tbl>
      <w:tblPr>
        <w:tblW w:w="5000" w:type="pct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127"/>
        <w:gridCol w:w="1814"/>
        <w:gridCol w:w="236"/>
        <w:gridCol w:w="1289"/>
        <w:gridCol w:w="1363"/>
        <w:gridCol w:w="848"/>
        <w:gridCol w:w="1079"/>
        <w:gridCol w:w="848"/>
        <w:gridCol w:w="1015"/>
        <w:gridCol w:w="1090"/>
        <w:gridCol w:w="1053"/>
        <w:gridCol w:w="963"/>
        <w:gridCol w:w="1181"/>
        <w:gridCol w:w="1030"/>
        <w:gridCol w:w="897"/>
      </w:tblGrid>
      <w:tr>
        <w:trPr>
          <w:trHeight w:val="285" w:hRule="atLeast"/>
        </w:trPr>
        <w:tc>
          <w:tcPr>
            <w:tcW w:w="317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65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07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829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24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3" w:hRule="atLeast"/>
        </w:trPr>
        <w:tc>
          <w:tcPr>
            <w:tcW w:w="112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814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6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6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8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30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9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30" w:hRule="atLeast"/>
        </w:trPr>
        <w:tc>
          <w:tcPr>
            <w:tcW w:w="294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 г</w:t>
            </w:r>
          </w:p>
        </w:tc>
        <w:tc>
          <w:tcPr>
            <w:tcW w:w="23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65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8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27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</w:t>
            </w:r>
            <w:bookmarkStart w:id="38" w:name="_GoBack"/>
            <w:bookmarkEnd w:id="38"/>
            <w:r>
              <w:rPr>
                <w:rFonts w:cs="Arial" w:ascii="Arial" w:hAnsi="Arial"/>
                <w:color w:val="000000"/>
                <w:sz w:val="16"/>
                <w:szCs w:val="16"/>
              </w:rPr>
              <w:t>____202 г</w:t>
            </w:r>
          </w:p>
        </w:tc>
      </w:tr>
      <w:tr>
        <w:trPr>
          <w:trHeight w:val="225" w:hRule="atLeast"/>
        </w:trPr>
        <w:tc>
          <w:tcPr>
            <w:tcW w:w="317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редакции сметных нормативов</w:t>
            </w:r>
          </w:p>
        </w:tc>
        <w:tc>
          <w:tcPr>
            <w:tcW w:w="12656" w:type="dxa"/>
            <w:gridSpan w:val="1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1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500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1079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8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15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0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96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81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30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97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57" w:hRule="exact"/>
        </w:trPr>
        <w:tc>
          <w:tcPr>
            <w:tcW w:w="112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8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5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6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8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5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33" w:type="dxa"/>
            <w:gridSpan w:val="1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5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341" w:hRule="atLeast"/>
        </w:trPr>
        <w:tc>
          <w:tcPr>
            <w:tcW w:w="15833" w:type="dxa"/>
            <w:gridSpan w:val="1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ЛОКАЛЬНЫЙ СМЕТНЫЙ РАСЧЕТ (СМЕТА) №</w:t>
            </w:r>
          </w:p>
        </w:tc>
      </w:tr>
      <w:tr>
        <w:trPr>
          <w:trHeight w:val="165" w:hRule="exact"/>
        </w:trPr>
        <w:tc>
          <w:tcPr>
            <w:tcW w:w="112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18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15833" w:type="dxa"/>
            <w:gridSpan w:val="15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>
        <w:trPr>
          <w:trHeight w:val="300" w:hRule="atLeast"/>
        </w:trPr>
        <w:tc>
          <w:tcPr>
            <w:tcW w:w="112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Составлен</w:t>
            </w:r>
          </w:p>
        </w:tc>
        <w:tc>
          <w:tcPr>
            <w:tcW w:w="3339" w:type="dxa"/>
            <w:gridSpan w:val="3"/>
            <w:tcBorders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Ресурсно-индексным</w:t>
            </w:r>
          </w:p>
        </w:tc>
        <w:tc>
          <w:tcPr>
            <w:tcW w:w="329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/>
              <w:t>методом</w:t>
            </w:r>
          </w:p>
        </w:tc>
        <w:tc>
          <w:tcPr>
            <w:tcW w:w="8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112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629" w:type="dxa"/>
            <w:gridSpan w:val="6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12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29" w:type="dxa"/>
            <w:gridSpan w:val="6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8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10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31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Составлен(а) в текущем (базисном) уровне цен</w:t>
            </w:r>
          </w:p>
        </w:tc>
        <w:tc>
          <w:tcPr>
            <w:tcW w:w="2652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соответствующих периоду выполнения работ по договору</w:t>
            </w:r>
          </w:p>
        </w:tc>
        <w:tc>
          <w:tcPr>
            <w:tcW w:w="8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94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Сметная стоимость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652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8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2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6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2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652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006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9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8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30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9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112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8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652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006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9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8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30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9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2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8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652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006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9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8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30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9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2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8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652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96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Расчетный измеритель конструктивного решения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9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00" w:hRule="exact"/>
        </w:trPr>
        <w:tc>
          <w:tcPr>
            <w:tcW w:w="112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5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720" w:hRule="atLeast"/>
        </w:trPr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373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51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7"/>
              <w:widowControl w:val="false"/>
              <w:spacing w:lineRule="auto" w:line="240" w:before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Сметная стоимость, руб.</w:t>
            </w:r>
          </w:p>
        </w:tc>
      </w:tr>
      <w:tr>
        <w:trPr>
          <w:trHeight w:val="873" w:hRule="atLeast"/>
        </w:trPr>
        <w:tc>
          <w:tcPr>
            <w:tcW w:w="11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8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736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7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105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7"/>
              <w:widowControl w:val="false"/>
              <w:spacing w:lineRule="auto" w:line="240" w:before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 единицу измерения в базисном уровне цен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7"/>
              <w:widowControl w:val="false"/>
              <w:spacing w:lineRule="auto" w:line="240" w:before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индекс</w:t>
            </w:r>
          </w:p>
        </w:tc>
        <w:tc>
          <w:tcPr>
            <w:tcW w:w="11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7"/>
              <w:widowControl w:val="false"/>
              <w:spacing w:lineRule="auto" w:line="240" w:before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 единицу измерения в текущем уровне цен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37"/>
              <w:widowControl w:val="false"/>
              <w:spacing w:lineRule="auto" w:line="240" w:before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7"/>
              <w:widowControl w:val="false"/>
              <w:spacing w:lineRule="auto" w:line="240" w:before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 в текущем уровне цен</w:t>
            </w:r>
          </w:p>
        </w:tc>
      </w:tr>
      <w:tr>
        <w:trPr>
          <w:trHeight w:val="225" w:hRule="atLeast"/>
        </w:trPr>
        <w:tc>
          <w:tcPr>
            <w:tcW w:w="1127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14" w:type="dxa"/>
            <w:tcBorders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36" w:type="dxa"/>
            <w:gridSpan w:val="4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79" w:type="dxa"/>
            <w:tcBorders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48" w:type="dxa"/>
            <w:tcBorders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15" w:type="dxa"/>
            <w:tcBorders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90" w:type="dxa"/>
            <w:tcBorders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53" w:type="dxa"/>
            <w:tcBorders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963" w:type="dxa"/>
            <w:tcBorders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81" w:type="dxa"/>
            <w:tcBorders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30" w:type="dxa"/>
            <w:tcBorders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97" w:type="dxa"/>
            <w:tcBorders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tbl>
      <w:tblPr>
        <w:tblW w:w="5000" w:type="pct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133"/>
        <w:gridCol w:w="1316"/>
        <w:gridCol w:w="692"/>
        <w:gridCol w:w="2815"/>
        <w:gridCol w:w="849"/>
        <w:gridCol w:w="1100"/>
        <w:gridCol w:w="664"/>
        <w:gridCol w:w="1042"/>
        <w:gridCol w:w="1084"/>
        <w:gridCol w:w="664"/>
        <w:gridCol w:w="1042"/>
        <w:gridCol w:w="506"/>
        <w:gridCol w:w="687"/>
        <w:gridCol w:w="2239"/>
      </w:tblGrid>
      <w:tr>
        <w:trPr>
          <w:trHeight w:val="285" w:hRule="atLeast"/>
        </w:trPr>
        <w:tc>
          <w:tcPr>
            <w:tcW w:w="3141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74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56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38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3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30" w:hRule="atLeast"/>
        </w:trPr>
        <w:tc>
          <w:tcPr>
            <w:tcW w:w="24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_____________2021 г</w:t>
            </w:r>
          </w:p>
        </w:tc>
        <w:tc>
          <w:tcPr>
            <w:tcW w:w="69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________2021 г</w:t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редакции сметных нормативов</w:t>
            </w:r>
          </w:p>
        </w:tc>
        <w:tc>
          <w:tcPr>
            <w:tcW w:w="12692" w:type="dxa"/>
            <w:gridSpan w:val="11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14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1100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4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4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33" w:type="dxa"/>
            <w:gridSpan w:val="1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33" w:type="dxa"/>
            <w:gridSpan w:val="1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ЛОКАЛЬНЫЙ СМЕТНЫЙ РАСЧЕТ (СМЕТА) №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>
        <w:trPr>
          <w:trHeight w:val="300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Составлен</w:t>
            </w:r>
          </w:p>
        </w:tc>
        <w:tc>
          <w:tcPr>
            <w:tcW w:w="2008" w:type="dxa"/>
            <w:gridSpan w:val="2"/>
            <w:tcBorders>
              <w:bottom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8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/>
              <w:t>методом</w:t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772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72" w:type="dxa"/>
            <w:gridSpan w:val="5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6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Составлен(а) в текущем (базисном) уровне цен</w:t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соответствующих периоду выполнения работ по договору</w:t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0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4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Сметная стоимость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4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4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4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49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Расчетный измеритель конструктивного решения</w:t>
            </w:r>
          </w:p>
        </w:tc>
        <w:tc>
          <w:tcPr>
            <w:tcW w:w="119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95" w:hRule="exact"/>
        </w:trPr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720" w:hRule="atLeast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43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7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21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>
        <w:trPr>
          <w:trHeight w:val="735" w:hRule="atLeast"/>
        </w:trPr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5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9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1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900" w:hRule="atLeast"/>
        </w:trPr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5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0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6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5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</w:tr>
    </w:tbl>
    <w:p>
      <w:pPr>
        <w:sectPr>
          <w:footerReference w:type="default" r:id="rId8"/>
          <w:footerReference w:type="first" r:id="rId9"/>
          <w:footnotePr>
            <w:numFmt w:val="decimal"/>
            <w:numRestart w:val="eachPage"/>
          </w:footnotePr>
          <w:type w:val="nextPage"/>
          <w:pgSz w:orient="landscape" w:w="16838" w:h="11906"/>
          <w:pgMar w:left="720" w:right="284" w:gutter="0" w:header="0" w:top="426" w:footer="34" w:bottom="426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left="5811" w:firstLine="709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2 </w:t>
      </w:r>
    </w:p>
    <w:p>
      <w:pPr>
        <w:pStyle w:val="Normal"/>
        <w:spacing w:lineRule="auto" w:line="240" w:before="0" w:after="0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</w:p>
    <w:p>
      <w:pPr>
        <w:pStyle w:val="Normal"/>
        <w:shd w:val="clear" w:color="auto" w:fill="FFFFFF"/>
        <w:spacing w:lineRule="auto" w:line="240" w:before="0" w:after="0"/>
        <w:ind w:left="142" w:hanging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9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989"/>
      </w:tblGrid>
      <w:tr>
        <w:trPr/>
        <w:tc>
          <w:tcPr>
            <w:tcW w:w="9989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 договору от ______№_______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4430"/>
              <w:gridCol w:w="5133"/>
            </w:tblGrid>
            <w:tr>
              <w:trPr>
                <w:trHeight w:val="446" w:hRule="atLeast"/>
              </w:trPr>
              <w:tc>
                <w:tcPr>
                  <w:tcW w:w="443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5133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шеф - монтажные работы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монтажной организации 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649" w:type="dxa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HBand="0" w:noVBand="1" w:firstColumn="1" w:lastRow="0" w:lastColumn="0" w:firstRow="1"/>
            </w:tblPr>
            <w:tblGrid>
              <w:gridCol w:w="577"/>
              <w:gridCol w:w="2207"/>
              <w:gridCol w:w="1109"/>
              <w:gridCol w:w="1185"/>
              <w:gridCol w:w="1415"/>
              <w:gridCol w:w="1422"/>
              <w:gridCol w:w="1733"/>
            </w:tblGrid>
            <w:tr>
              <w:trPr>
                <w:tblHeader w:val="true"/>
              </w:trPr>
              <w:tc>
                <w:tcPr>
                  <w:tcW w:w="57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220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94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415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42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 1 день</w:t>
                  </w:r>
                </w:p>
              </w:tc>
              <w:tc>
                <w:tcPr>
                  <w:tcW w:w="1733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7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07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09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415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22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33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9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33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577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09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1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22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33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577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220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109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41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422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733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Накладные расходы, %_______________________________________________________________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Командировочные расходы (по расчету)______________________________________________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Составил:________/должность,организация/_______/подпись/___________/расшифровка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2.1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</w:t>
      </w:r>
    </w:p>
    <w:p>
      <w:pPr>
        <w:pStyle w:val="Normal"/>
        <w:spacing w:lineRule="auto" w:line="240" w:before="0" w:after="0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составлению сметной документации </w:t>
      </w:r>
      <w:r>
        <w:rPr>
          <w:rFonts w:ascii="Times New Roman" w:hAnsi="Times New Roman"/>
          <w:color w:val="000000"/>
          <w:sz w:val="20"/>
        </w:rPr>
        <w:t>на выполнение строительно-монтажных работ по программе ремонтов, реконструкции и техническому перевооружению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при составлении смет на шеф-монтажные, шеф-наладочные работы </w:t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16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16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16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</w:t>
      </w:r>
    </w:p>
    <w:p>
      <w:pPr>
        <w:pStyle w:val="Normal"/>
        <w:numPr>
          <w:ilvl w:val="0"/>
          <w:numId w:val="16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>
      <w:pPr>
        <w:pStyle w:val="Normal"/>
        <w:numPr>
          <w:ilvl w:val="0"/>
          <w:numId w:val="16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Особенности заполнения формы 3п.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1. Расчет заработной платы:</w:t>
      </w:r>
    </w:p>
    <w:p>
      <w:pPr>
        <w:pStyle w:val="Normal"/>
        <w:numPr>
          <w:ilvl w:val="0"/>
          <w:numId w:val="1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1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1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1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1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1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1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7 указывается заработная плата в рублях (</w:t>
      </w:r>
      <w:r>
        <w:rPr>
          <w:rFonts w:eastAsia="Calibri" w:ascii="Times New Roman" w:hAnsi="Times New Roman"/>
          <w:b/>
          <w:u w:val="single"/>
          <w:lang w:eastAsia="en-US"/>
        </w:rPr>
        <w:t>результат перемножения граф 5 и 6</w:t>
      </w:r>
      <w:r>
        <w:rPr>
          <w:rFonts w:eastAsia="Calibri" w:ascii="Times New Roman" w:hAnsi="Times New Roman"/>
          <w:lang w:eastAsia="en-US"/>
        </w:rPr>
        <w:t>);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2. Расчет стоимости выполнения работ</w:t>
      </w:r>
    </w:p>
    <w:p>
      <w:pPr>
        <w:pStyle w:val="Normal"/>
        <w:numPr>
          <w:ilvl w:val="0"/>
          <w:numId w:val="1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1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1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1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 от__________ (указать дату составления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Дата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FootnoteReference"/>
          <w:rFonts w:ascii="Times New Roman" w:hAnsi="Times New Roman"/>
        </w:rPr>
        <w:footnoteReference w:id="5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/>
      </w:r>
    </w:p>
    <w:sectPr>
      <w:footerReference w:type="default" r:id="rId10"/>
      <w:footerReference w:type="first" r:id="rId11"/>
      <w:footnotePr>
        <w:numFmt w:val="decimal"/>
        <w:numRestart w:val="eachPage"/>
      </w:footnotePr>
      <w:type w:val="nextPage"/>
      <w:pgSz w:w="11906" w:h="16838"/>
      <w:pgMar w:left="1276" w:right="707" w:gutter="0" w:header="0" w:top="851" w:footer="709" w:bottom="76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63638849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4442530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182702466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13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07672136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15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18</w:t>
    </w:r>
    <w:r>
      <w:rPr/>
      <w:fldChar w:fldCharType="end"/>
    </w:r>
  </w:p>
  <w:p>
    <w:pPr>
      <w:pStyle w:val="Footer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 xml:space="preserve">Пункт 31 учитывается при указании соответствующих услуг, предоставляемых ПАО «РусГидро» подрядным организациям в разделе технических требований «Иные условия поставки товаров, выполнения работ, оказания услуг».  </w:t>
      </w:r>
    </w:p>
  </w:footnote>
  <w:footnote w:id="3">
    <w:p>
      <w:pPr>
        <w:pStyle w:val="FootnoteText"/>
        <w:jc w:val="both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 xml:space="preserve">Стоимость электроэнергии определять в соответствии с рекомендациями, изложенными по ссылке </w:t>
      </w:r>
      <w:hyperlink r:id="rId1">
        <w:r>
          <w:rPr>
            <w:rStyle w:val="Hyperlink"/>
          </w:rPr>
          <w:t>http://grandsmeta82.ru/znaj-kak/grand-smeta-baza-znanij/109-raschet-zatrat-na-energonositeli-elektroenergiyu-toplivo-i-pr-v-grand-smete.html</w:t>
        </w:r>
      </w:hyperlink>
      <w:r>
        <w:rPr/>
        <w:t xml:space="preserve"> </w:t>
      </w:r>
    </w:p>
    <w:p>
      <w:pPr>
        <w:pStyle w:val="FootnoteText"/>
        <w:jc w:val="both"/>
        <w:rPr/>
      </w:pPr>
      <w:r>
        <w:rPr/>
      </w:r>
    </w:p>
  </w:footnote>
  <w:footnote w:id="4">
    <w:p>
      <w:pPr>
        <w:pStyle w:val="Normal"/>
        <w:jc w:val="both"/>
        <w:rPr>
          <w:rFonts w:ascii="Times New Roman" w:hAnsi="Times New Roman"/>
          <w:szCs w:val="24"/>
        </w:rPr>
      </w:pPr>
      <w:r>
        <w:rPr>
          <w:rStyle w:val="Style3"/>
        </w:rPr>
        <w:footnoteRef/>
      </w:r>
      <w:r>
        <w:rPr/>
        <w:t xml:space="preserve"> </w:t>
      </w:r>
      <w:r>
        <w:rPr>
          <w:rFonts w:eastAsia="Calibri" w:ascii="Times New Roman" w:hAnsi="Times New Roman"/>
          <w:sz w:val="20"/>
          <w:szCs w:val="20"/>
        </w:rPr>
        <w:t>Размер коэффициента корректируется в соответствии с перечнем предоставляемых услуг, указанным в разделе Технических требований «Иные условия поставки товаров, выполнения работ, оказания услуг». Образец расчета приведен в приложении к приказу от 17.06.2019 № 498.</w:t>
      </w:r>
      <w:r>
        <w:rPr>
          <w:rFonts w:ascii="Times New Roman" w:hAnsi="Times New Roman"/>
          <w:szCs w:val="24"/>
        </w:rPr>
        <w:t xml:space="preserve"> </w:t>
      </w:r>
    </w:p>
    <w:p>
      <w:pPr>
        <w:pStyle w:val="FootnoteText"/>
        <w:rPr/>
      </w:pPr>
      <w:r>
        <w:rPr/>
      </w:r>
    </w:p>
  </w:footnote>
  <w:footnote w:id="5">
    <w:p>
      <w:pPr>
        <w:pStyle w:val="FootnoteText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rFonts w:ascii="Times New Roman" w:hAnsi="Times New Roman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347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397"/>
        </w:tabs>
        <w:ind w:left="0" w:hanging="0"/>
      </w:pPr>
      <w:rPr>
        <w:i w:val="false"/>
        <w:b w:val="fals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 w:cs="Times New Roman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11">
    <w:lvl w:ilvl="0">
      <w:start w:val="1"/>
      <w:numFmt w:val="decimal"/>
      <w:lvlText w:val="ГЛАВА %1."/>
      <w:lvlJc w:val="center"/>
      <w:pPr>
        <w:tabs>
          <w:tab w:val="num" w:pos="360"/>
        </w:tabs>
        <w:ind w:left="0" w:firstLine="288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851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sz w:val="28"/>
        <w:b w:val="false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hanging="0"/>
      </w:pPr>
      <w:rPr/>
    </w:lvl>
    <w:lvl w:ilvl="4">
      <w:start w:val="1"/>
      <w:numFmt w:val="decimal"/>
      <w:lvlText w:val="%5)"/>
      <w:lvlJc w:val="left"/>
      <w:pPr>
        <w:tabs>
          <w:tab w:val="num" w:pos="1844"/>
        </w:tabs>
        <w:ind w:left="156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lvlText w:val="%6)"/>
      <w:lvlJc w:val="left"/>
      <w:pPr>
        <w:tabs>
          <w:tab w:val="num" w:pos="1871"/>
        </w:tabs>
        <w:ind w:left="1418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 w:val="false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fals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80"/>
  <w:defaultTabStop w:val="709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" w:customStyle="1">
    <w:name w:val="Текст примечания Знак"/>
    <w:link w:val="Annotationtext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2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 w:customStyle="1">
    <w:name w:val="Символ сноски"/>
    <w:uiPriority w:val="99"/>
    <w:unhideWhenUsed/>
    <w:qFormat/>
    <w:rsid w:val="0080406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Подпункт Знак1"/>
    <w:link w:val="Style26"/>
    <w:qFormat/>
    <w:locked/>
    <w:rsid w:val="00192f26"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5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6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5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8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0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rsid w:val="00b211e3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30"/>
    <w:qFormat/>
    <w:rsid w:val="006d08bc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2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1113" w:customStyle="1">
    <w:name w:val="РГ_1.1.1_3 Знак"/>
    <w:link w:val="11131"/>
    <w:qFormat/>
    <w:rsid w:val="00ca2697"/>
    <w:rPr>
      <w:rFonts w:ascii="Times New Roman" w:hAnsi="Times New Roman"/>
      <w:sz w:val="28"/>
      <w:szCs w:val="28"/>
    </w:rPr>
  </w:style>
  <w:style w:type="character" w:styleId="Style16" w:customStyle="1">
    <w:name w:val="РГ_текст табл Знак"/>
    <w:basedOn w:val="DefaultParagraphFont"/>
    <w:link w:val="Style35"/>
    <w:qFormat/>
    <w:rsid w:val="00ca2697"/>
    <w:rPr>
      <w:rFonts w:ascii="Calibri" w:hAnsi="Calibri" w:eastAsia="Calibri" w:cs="Calibri" w:asciiTheme="minorHAnsi" w:cstheme="minorHAnsi" w:hAnsiTheme="minorHAnsi"/>
      <w:sz w:val="24"/>
      <w:szCs w:val="24"/>
      <w:lang w:eastAsia="en-US"/>
    </w:rPr>
  </w:style>
  <w:style w:type="character" w:styleId="Style17" w:customStyle="1">
    <w:name w:val="РГ_номер текста табл Знак"/>
    <w:basedOn w:val="12"/>
    <w:link w:val="Style36"/>
    <w:qFormat/>
    <w:rsid w:val="00ca2697"/>
    <w:rPr>
      <w:rFonts w:ascii="Calibri" w:hAnsi="Calibri" w:eastAsia="Calibri" w:cs="Calibri" w:asciiTheme="minorHAnsi" w:cstheme="minorHAnsi" w:hAnsiTheme="minorHAnsi"/>
      <w:sz w:val="24"/>
      <w:szCs w:val="22"/>
      <w:lang w:eastAsia="en-US"/>
    </w:rPr>
  </w:style>
  <w:style w:type="character" w:styleId="111" w:customStyle="1">
    <w:name w:val="1.1. таблица Знак"/>
    <w:basedOn w:val="Style17"/>
    <w:link w:val="113"/>
    <w:qFormat/>
    <w:rsid w:val="00ca2697"/>
    <w:rPr>
      <w:rFonts w:ascii="Calibri" w:hAnsi="Calibri" w:eastAsia="Calibri" w:cs="Calibri" w:asciiTheme="minorHAnsi" w:cstheme="minorHAnsi" w:hAnsiTheme="minorHAnsi"/>
      <w:sz w:val="24"/>
      <w:szCs w:val="22"/>
      <w:lang w:eastAsia="en-US"/>
    </w:rPr>
  </w:style>
  <w:style w:type="character" w:styleId="11114" w:customStyle="1">
    <w:name w:val="РГ_1.1.1.1._4 Знак"/>
    <w:link w:val="111141"/>
    <w:qFormat/>
    <w:rsid w:val="00e9474d"/>
    <w:rPr>
      <w:rFonts w:ascii="Times New Roman" w:hAnsi="Times New Roman"/>
      <w:sz w:val="28"/>
      <w:szCs w:val="28"/>
    </w:rPr>
  </w:style>
  <w:style w:type="character" w:styleId="Style18" w:customStyle="1">
    <w:name w:val="Маркеры"/>
    <w:qFormat/>
    <w:rPr>
      <w:rFonts w:ascii="Times New Roman" w:hAnsi="Times New Roman" w:eastAsia="OpenSymbol" w:cs="OpenSymbol"/>
    </w:rPr>
  </w:style>
  <w:style w:type="character" w:styleId="Style19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ListParagraph">
    <w:name w:val="List Paragraph"/>
    <w:basedOn w:val="Normal"/>
    <w:link w:val="Style13"/>
    <w:uiPriority w:val="34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2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3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4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5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6" w:customStyle="1">
    <w:name w:val="Подпункт"/>
    <w:basedOn w:val="Style25"/>
    <w:link w:val="1"/>
    <w:qFormat/>
    <w:rsid w:val="00b5006b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7" w:customStyle="1">
    <w:name w:val="Подподпункт"/>
    <w:basedOn w:val="Style26"/>
    <w:qFormat/>
    <w:rsid w:val="00b5006b"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8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2"/>
    <w:uiPriority w:val="99"/>
    <w:unhideWhenUsed/>
    <w:qFormat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9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30" w:customStyle="1">
    <w:name w:val="Колонтитул"/>
    <w:basedOn w:val="Normal"/>
    <w:link w:val="Style14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Style4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1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11" w:customStyle="1">
    <w:name w:val="caption11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7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bb18d9"/>
    <w:pPr>
      <w:numPr>
        <w:ilvl w:val="1"/>
      </w:num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20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32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b5006b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3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2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4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9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16" w:customStyle="1">
    <w:name w:val="РГ_Глава_1"/>
    <w:basedOn w:val="Normal"/>
    <w:qFormat/>
    <w:rsid w:val="00ca2697"/>
    <w:pPr>
      <w:keepNext w:val="true"/>
      <w:keepLines/>
      <w:numPr>
        <w:ilvl w:val="0"/>
        <w:numId w:val="11"/>
      </w:numPr>
      <w:tabs>
        <w:tab w:val="clear" w:pos="709"/>
        <w:tab w:val="left" w:pos="1985" w:leader="none"/>
      </w:tabs>
      <w:spacing w:lineRule="auto" w:line="240" w:before="0" w:after="0"/>
      <w:jc w:val="center"/>
      <w:outlineLvl w:val="1"/>
    </w:pPr>
    <w:rPr>
      <w:rFonts w:ascii="Times New Roman" w:hAnsi="Times New Roman"/>
      <w:caps/>
      <w:sz w:val="28"/>
      <w:szCs w:val="28"/>
    </w:rPr>
  </w:style>
  <w:style w:type="paragraph" w:styleId="112" w:customStyle="1">
    <w:name w:val="РГ_1.1._2"/>
    <w:basedOn w:val="Normal"/>
    <w:qFormat/>
    <w:rsid w:val="00ca2697"/>
    <w:pPr>
      <w:widowControl w:val="false"/>
      <w:numPr>
        <w:ilvl w:val="1"/>
        <w:numId w:val="11"/>
      </w:numPr>
      <w:spacing w:lineRule="auto" w:line="240" w:before="120" w:after="0"/>
      <w:jc w:val="both"/>
      <w:outlineLvl w:val="0"/>
    </w:pPr>
    <w:rPr>
      <w:rFonts w:ascii="Calibri" w:hAnsi="Calibri" w:cs="Calibri" w:asciiTheme="minorHAnsi" w:cstheme="minorHAnsi" w:hAnsiTheme="minorHAnsi"/>
      <w:sz w:val="28"/>
      <w:szCs w:val="28"/>
    </w:rPr>
  </w:style>
  <w:style w:type="paragraph" w:styleId="11131" w:customStyle="1">
    <w:name w:val="РГ_1.1.1_3"/>
    <w:basedOn w:val="Normal"/>
    <w:link w:val="1113"/>
    <w:qFormat/>
    <w:rsid w:val="00ca2697"/>
    <w:pPr>
      <w:widowControl w:val="false"/>
      <w:numPr>
        <w:ilvl w:val="2"/>
        <w:numId w:val="11"/>
      </w:numPr>
      <w:spacing w:lineRule="auto" w:line="240" w:before="120" w:after="120"/>
      <w:jc w:val="both"/>
    </w:pPr>
    <w:rPr>
      <w:rFonts w:ascii="Times New Roman" w:hAnsi="Times New Roman"/>
      <w:sz w:val="28"/>
      <w:szCs w:val="28"/>
    </w:rPr>
  </w:style>
  <w:style w:type="paragraph" w:styleId="111141" w:customStyle="1">
    <w:name w:val="РГ_1.1.1.1._4"/>
    <w:basedOn w:val="11131"/>
    <w:link w:val="11114"/>
    <w:qFormat/>
    <w:rsid w:val="00ca2697"/>
    <w:pPr>
      <w:numPr>
        <w:ilvl w:val="3"/>
      </w:numPr>
      <w:tabs>
        <w:tab w:val="clear" w:pos="709"/>
        <w:tab w:val="left" w:pos="360" w:leader="none"/>
      </w:tabs>
    </w:pPr>
    <w:rPr/>
  </w:style>
  <w:style w:type="paragraph" w:styleId="51" w:customStyle="1">
    <w:name w:val="РГ_а)_5"/>
    <w:basedOn w:val="Normal"/>
    <w:qFormat/>
    <w:rsid w:val="00ca2697"/>
    <w:pPr>
      <w:numPr>
        <w:ilvl w:val="5"/>
        <w:numId w:val="11"/>
      </w:numPr>
      <w:spacing w:lineRule="auto" w:line="240" w:before="0" w:after="0"/>
      <w:jc w:val="both"/>
    </w:pPr>
    <w:rPr>
      <w:rFonts w:ascii="Times New Roman" w:hAnsi="Times New Roman"/>
      <w:sz w:val="28"/>
      <w:szCs w:val="28"/>
    </w:rPr>
  </w:style>
  <w:style w:type="paragraph" w:styleId="151" w:customStyle="1">
    <w:name w:val="РГ_1)___5"/>
    <w:basedOn w:val="111141"/>
    <w:qFormat/>
    <w:rsid w:val="00ca2697"/>
    <w:pPr>
      <w:numPr>
        <w:ilvl w:val="4"/>
      </w:numPr>
    </w:pPr>
    <w:rPr/>
  </w:style>
  <w:style w:type="paragraph" w:styleId="Style35" w:customStyle="1">
    <w:name w:val="РГ_текст табл"/>
    <w:basedOn w:val="112"/>
    <w:link w:val="Style16"/>
    <w:qFormat/>
    <w:rsid w:val="00ca2697"/>
    <w:pPr>
      <w:numPr>
        <w:ilvl w:val="0"/>
        <w:numId w:val="0"/>
      </w:numPr>
      <w:spacing w:before="0" w:after="0"/>
      <w:ind w:left="34" w:hanging="0"/>
      <w:outlineLvl w:val="9"/>
    </w:pPr>
    <w:rPr>
      <w:rFonts w:eastAsia="Calibri"/>
      <w:sz w:val="24"/>
      <w:szCs w:val="24"/>
      <w:lang w:eastAsia="en-US"/>
    </w:rPr>
  </w:style>
  <w:style w:type="paragraph" w:styleId="Style36" w:customStyle="1">
    <w:name w:val="РГ_номер текста табл"/>
    <w:basedOn w:val="ListParagraph"/>
    <w:link w:val="Style17"/>
    <w:qFormat/>
    <w:rsid w:val="00ca2697"/>
    <w:pPr>
      <w:numPr>
        <w:ilvl w:val="0"/>
        <w:numId w:val="10"/>
      </w:numPr>
      <w:spacing w:lineRule="auto" w:line="240" w:before="0" w:after="0"/>
      <w:contextualSpacing/>
      <w:jc w:val="both"/>
    </w:pPr>
    <w:rPr>
      <w:rFonts w:ascii="Calibri" w:hAnsi="Calibri" w:eastAsia="Calibri" w:cs="Calibri" w:asciiTheme="minorHAnsi" w:cstheme="minorHAnsi" w:hAnsiTheme="minorHAnsi"/>
      <w:sz w:val="24"/>
      <w:lang w:eastAsia="en-US"/>
    </w:rPr>
  </w:style>
  <w:style w:type="paragraph" w:styleId="113" w:customStyle="1">
    <w:name w:val="1.1. таблица"/>
    <w:basedOn w:val="Style36"/>
    <w:link w:val="111"/>
    <w:qFormat/>
    <w:rsid w:val="00ca2697"/>
    <w:pPr>
      <w:numPr>
        <w:ilvl w:val="1"/>
      </w:numPr>
    </w:pPr>
    <w:rPr/>
  </w:style>
  <w:style w:type="paragraph" w:styleId="Style37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8" w:customStyle="1">
    <w:name w:val="Заголовок таблицы"/>
    <w:basedOn w:val="Style37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28430701971" w:customStyle="1">
    <w:name w:val="28430701971"/>
    <w:qFormat/>
  </w:style>
  <w:style w:type="numbering" w:styleId="39394297381" w:customStyle="1">
    <w:name w:val="39394297381"/>
    <w:qFormat/>
  </w:style>
  <w:style w:type="numbering" w:styleId="39651225581" w:customStyle="1">
    <w:name w:val="39651225581"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a">
    <w:name w:val="Table Grid"/>
    <w:basedOn w:val="a6"/>
    <w:uiPriority w:val="5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footer" Target="footer5.xml"/><Relationship Id="rId8" Type="http://schemas.openxmlformats.org/officeDocument/2006/relationships/footer" Target="footer6.xml"/><Relationship Id="rId9" Type="http://schemas.openxmlformats.org/officeDocument/2006/relationships/footer" Target="footer7.xml"/><Relationship Id="rId10" Type="http://schemas.openxmlformats.org/officeDocument/2006/relationships/footer" Target="footer8.xml"/><Relationship Id="rId11" Type="http://schemas.openxmlformats.org/officeDocument/2006/relationships/footer" Target="footer9.xml"/><Relationship Id="rId12" Type="http://schemas.openxmlformats.org/officeDocument/2006/relationships/footnotes" Target="footnotes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<Relationship Id="rId17" Type="http://schemas.openxmlformats.org/officeDocument/2006/relationships/customXml" Target="../customXml/item1.xml"/>
</Relationships>
</file>

<file path=word/_rels/footnotes.xml.rels><?xml version="1.0" encoding="UTF-8"?>
<Relationships xmlns="http://schemas.openxmlformats.org/package/2006/relationships"><Relationship Id="rId1" Type="http://schemas.openxmlformats.org/officeDocument/2006/relationships/hyperlink" Target="http://grandsmeta82.ru/znaj-kak/grand-smeta-baza-znanij/109-raschet-zatrat-na-energonositeli-elektroenergiyu-toplivo-i-pr-v-grand-smete.html" TargetMode="Externa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B0EF0-79E9-4310-BF85-FE724A1D1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Application>AlterOffice/2025.3.0.0$Linux_X86_64 LibreOffice_project/4ba31b6a4271509a884f95065d0a726e9cb2bdbb</Application>
  <AppVersion>15.0000</AppVersion>
  <Pages>18</Pages>
  <Words>4480</Words>
  <Characters>31606</Characters>
  <CharactersWithSpaces>36726</CharactersWithSpaces>
  <Paragraphs>543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2026-01-16T09:41:00Z</dcterms:created>
  <dc:creator/>
  <dc:description/>
  <dc:language>ru-RU</dc:language>
  <cp:lastModifiedBy>sizovaa@corp.gidroogk.com</cp:lastModifiedBy>
  <dcterms:modified xsi:type="dcterms:W3CDTF">2026-04-29T14:05:11Z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